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Κύριο τμήμα"/>
        <w:shd w:val="clear" w:color="auto" w:fill="ffffff"/>
        <w:spacing w:after="330" w:line="240" w:lineRule="auto"/>
        <w:rPr>
          <w:rFonts w:ascii="Roboto" w:cs="Roboto" w:hAnsi="Roboto" w:eastAsia="Roboto"/>
          <w:outline w:val="0"/>
          <w:color w:val="414d57"/>
          <w:sz w:val="24"/>
          <w:szCs w:val="24"/>
          <w:u w:color="414d57"/>
          <w14:textFill>
            <w14:solidFill>
              <w14:srgbClr w14:val="414D57"/>
            </w14:solidFill>
          </w14:textFill>
        </w:rPr>
      </w:pPr>
      <w:r>
        <w:rPr>
          <w:rFonts w:ascii="Roboto" w:cs="Roboto" w:hAnsi="Roboto" w:eastAsia="Roboto"/>
          <w:b w:val="1"/>
          <w:bCs w:val="1"/>
          <w:outline w:val="0"/>
          <w:color w:val="414d57"/>
          <w:sz w:val="24"/>
          <w:szCs w:val="24"/>
          <w:u w:color="414d57"/>
          <w:rtl w:val="0"/>
          <w14:textFill>
            <w14:solidFill>
              <w14:srgbClr w14:val="414D57"/>
            </w14:solidFill>
          </w14:textFill>
        </w:rPr>
        <w:t xml:space="preserve">Άρθρο </w:t>
      </w:r>
      <w:r>
        <w:rPr>
          <w:rFonts w:ascii="Roboto" w:cs="Roboto" w:hAnsi="Roboto" w:eastAsia="Roboto"/>
          <w:b w:val="1"/>
          <w:bCs w:val="1"/>
          <w:outline w:val="0"/>
          <w:color w:val="414d57"/>
          <w:sz w:val="24"/>
          <w:szCs w:val="24"/>
          <w:u w:color="414d57"/>
          <w:rtl w:val="0"/>
          <w14:textFill>
            <w14:solidFill>
              <w14:srgbClr w14:val="414D57"/>
            </w14:solidFill>
          </w14:textFill>
        </w:rPr>
        <w:t>90</w:t>
      </w:r>
      <w:r>
        <w:rPr>
          <w:rFonts w:ascii="Roboto" w:cs="Roboto" w:hAnsi="Roboto" w:eastAsia="Roboto"/>
          <w:outline w:val="0"/>
          <w:color w:val="414d57"/>
          <w:sz w:val="24"/>
          <w:szCs w:val="24"/>
          <w:u w:color="414d57"/>
          <w14:textFill>
            <w14:solidFill>
              <w14:srgbClr w14:val="414D57"/>
            </w14:solidFill>
          </w14:textFill>
        </w:rPr>
        <w:br w:type="textWrapping"/>
      </w:r>
      <w:r>
        <w:rPr>
          <w:rFonts w:ascii="Roboto" w:cs="Roboto" w:hAnsi="Roboto" w:eastAsia="Roboto"/>
          <w:b w:val="1"/>
          <w:bCs w:val="1"/>
          <w:outline w:val="0"/>
          <w:color w:val="414d57"/>
          <w:sz w:val="24"/>
          <w:szCs w:val="24"/>
          <w:u w:color="414d57"/>
          <w:rtl w:val="0"/>
          <w14:textFill>
            <w14:solidFill>
              <w14:srgbClr w14:val="414D57"/>
            </w14:solidFill>
          </w14:textFill>
        </w:rPr>
        <w:t xml:space="preserve">Ρύθμιση οφειλών προς δήμους για την αντιμετώπιση των επιπτώσεων της ενεργειακής κρίσης και του αυξημένου πληθωρισμού του έτους </w:t>
      </w:r>
      <w:r>
        <w:rPr>
          <w:rFonts w:ascii="Roboto" w:cs="Roboto" w:hAnsi="Roboto" w:eastAsia="Roboto"/>
          <w:b w:val="1"/>
          <w:bCs w:val="1"/>
          <w:outline w:val="0"/>
          <w:color w:val="414d57"/>
          <w:sz w:val="24"/>
          <w:szCs w:val="24"/>
          <w:u w:color="414d57"/>
          <w:rtl w:val="0"/>
          <w14:textFill>
            <w14:solidFill>
              <w14:srgbClr w14:val="414D57"/>
            </w14:solidFill>
          </w14:textFill>
        </w:rPr>
        <w:t xml:space="preserve">2022 </w:t>
      </w:r>
      <w:r>
        <w:rPr>
          <w:rFonts w:ascii="Roboto" w:cs="Roboto" w:hAnsi="Roboto" w:eastAsia="Roboto"/>
          <w:b w:val="1"/>
          <w:bCs w:val="1"/>
          <w:outline w:val="0"/>
          <w:color w:val="414d57"/>
          <w:sz w:val="24"/>
          <w:szCs w:val="24"/>
          <w:u w:color="414d57"/>
          <w:rtl w:val="0"/>
          <w14:textFill>
            <w14:solidFill>
              <w14:srgbClr w14:val="414D57"/>
            </w14:solidFill>
          </w14:textFill>
        </w:rPr>
        <w:t xml:space="preserve">– Αναβίωση της ρύθμισης των εκατό </w:t>
      </w:r>
      <w:r>
        <w:rPr>
          <w:rFonts w:ascii="Roboto" w:cs="Roboto" w:hAnsi="Roboto" w:eastAsia="Roboto"/>
          <w:b w:val="1"/>
          <w:bCs w:val="1"/>
          <w:outline w:val="0"/>
          <w:color w:val="414d57"/>
          <w:sz w:val="24"/>
          <w:szCs w:val="24"/>
          <w:u w:color="414d57"/>
          <w:rtl w:val="0"/>
          <w14:textFill>
            <w14:solidFill>
              <w14:srgbClr w14:val="414D57"/>
            </w14:solidFill>
          </w14:textFill>
        </w:rPr>
        <w:t xml:space="preserve">(100) </w:t>
      </w:r>
      <w:r>
        <w:rPr>
          <w:rFonts w:ascii="Roboto" w:cs="Roboto" w:hAnsi="Roboto" w:eastAsia="Roboto"/>
          <w:b w:val="1"/>
          <w:bCs w:val="1"/>
          <w:outline w:val="0"/>
          <w:color w:val="414d57"/>
          <w:sz w:val="24"/>
          <w:szCs w:val="24"/>
          <w:u w:color="414d57"/>
          <w:rtl w:val="0"/>
          <w14:textFill>
            <w14:solidFill>
              <w14:srgbClr w14:val="414D57"/>
            </w14:solidFill>
          </w14:textFill>
        </w:rPr>
        <w:t>δόσεων των ν</w:t>
      </w:r>
      <w:r>
        <w:rPr>
          <w:rFonts w:ascii="Roboto" w:cs="Roboto" w:hAnsi="Roboto" w:eastAsia="Roboto"/>
          <w:b w:val="1"/>
          <w:bCs w:val="1"/>
          <w:outline w:val="0"/>
          <w:color w:val="414d57"/>
          <w:sz w:val="24"/>
          <w:szCs w:val="24"/>
          <w:u w:color="414d57"/>
          <w:rtl w:val="0"/>
          <w14:textFill>
            <w14:solidFill>
              <w14:srgbClr w14:val="414D57"/>
            </w14:solidFill>
          </w14:textFill>
        </w:rPr>
        <w:t xml:space="preserve">. 4611/2019 </w:t>
      </w:r>
      <w:r>
        <w:rPr>
          <w:rFonts w:ascii="Roboto" w:cs="Roboto" w:hAnsi="Roboto" w:eastAsia="Roboto"/>
          <w:b w:val="1"/>
          <w:bCs w:val="1"/>
          <w:outline w:val="0"/>
          <w:color w:val="414d57"/>
          <w:sz w:val="24"/>
          <w:szCs w:val="24"/>
          <w:u w:color="414d57"/>
          <w:rtl w:val="0"/>
          <w14:textFill>
            <w14:solidFill>
              <w14:srgbClr w14:val="414D57"/>
            </w14:solidFill>
          </w14:textFill>
        </w:rPr>
        <w:t xml:space="preserve">και </w:t>
      </w:r>
      <w:r>
        <w:rPr>
          <w:rFonts w:ascii="Roboto" w:cs="Roboto" w:hAnsi="Roboto" w:eastAsia="Roboto"/>
          <w:b w:val="1"/>
          <w:bCs w:val="1"/>
          <w:outline w:val="0"/>
          <w:color w:val="414d57"/>
          <w:sz w:val="24"/>
          <w:szCs w:val="24"/>
          <w:u w:color="414d57"/>
          <w:rtl w:val="0"/>
          <w14:textFill>
            <w14:solidFill>
              <w14:srgbClr w14:val="414D57"/>
            </w14:solidFill>
          </w14:textFill>
        </w:rPr>
        <w:t>4764/2020</w:t>
      </w:r>
    </w:p>
    <w:p>
      <w:pPr>
        <w:pStyle w:val="Κύριο τμήμα"/>
        <w:numPr>
          <w:ilvl w:val="0"/>
          <w:numId w:val="2"/>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Οφειλές προς δήμους που κατέστησαν ληξιπρόθεσμες μετά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.11.2021 </w:t>
      </w:r>
      <w:r>
        <w:rPr>
          <w:rFonts w:ascii="Roboto" w:cs="Roboto" w:hAnsi="Roboto" w:eastAsia="Roboto"/>
          <w:outline w:val="0"/>
          <w:color w:val="414d57"/>
          <w:sz w:val="24"/>
          <w:szCs w:val="24"/>
          <w:u w:color="414d57"/>
          <w:rtl w:val="0"/>
          <w14:textFill>
            <w14:solidFill>
              <w14:srgbClr w14:val="414D57"/>
            </w14:solidFill>
          </w14:textFill>
        </w:rPr>
        <w:t xml:space="preserve">και έως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.2.2023 </w:t>
      </w:r>
      <w:r>
        <w:rPr>
          <w:rFonts w:ascii="Roboto" w:cs="Roboto" w:hAnsi="Roboto" w:eastAsia="Roboto"/>
          <w:outline w:val="0"/>
          <w:color w:val="414d57"/>
          <w:sz w:val="24"/>
          <w:szCs w:val="24"/>
          <w:u w:color="414d57"/>
          <w:rtl w:val="0"/>
          <w14:textFill>
            <w14:solidFill>
              <w14:srgbClr w14:val="414D57"/>
            </w14:solidFill>
          </w14:textFill>
        </w:rPr>
        <w:t xml:space="preserve">μπορούν να ρυθμιστούν είτε σε τριάντα έξι </w:t>
      </w:r>
      <w:r>
        <w:rPr>
          <w:rFonts w:ascii="Roboto" w:cs="Roboto" w:hAnsi="Roboto" w:eastAsia="Roboto"/>
          <w:outline w:val="0"/>
          <w:color w:val="414d57"/>
          <w:sz w:val="24"/>
          <w:szCs w:val="24"/>
          <w:u w:color="414d57"/>
          <w:rtl w:val="0"/>
          <w14:textFill>
            <w14:solidFill>
              <w14:srgbClr w14:val="414D57"/>
            </w14:solidFill>
          </w14:textFill>
        </w:rPr>
        <w:t xml:space="preserve">(36) </w:t>
      </w:r>
      <w:r>
        <w:rPr>
          <w:rFonts w:ascii="Roboto" w:cs="Roboto" w:hAnsi="Roboto" w:eastAsia="Roboto"/>
          <w:outline w:val="0"/>
          <w:color w:val="414d57"/>
          <w:sz w:val="24"/>
          <w:szCs w:val="24"/>
          <w:u w:color="414d57"/>
          <w:rtl w:val="0"/>
          <w14:textFill>
            <w14:solidFill>
              <w14:srgbClr w14:val="414D57"/>
            </w14:solidFill>
          </w14:textFill>
        </w:rPr>
        <w:t>δόσεις με επιτόκιο που υπολογίζεται με βάση το τελευταίο δημοσιευμένο μέσο ετήσιο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όπως αυτό δημοσιεύεται από την Τράπεζα της Ελλάδος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πλέον είκοσι πέντε εκατοστών της εκατοστιαίας μονάδας </w:t>
      </w:r>
      <w:r>
        <w:rPr>
          <w:rFonts w:ascii="Roboto" w:cs="Roboto" w:hAnsi="Roboto" w:eastAsia="Roboto"/>
          <w:outline w:val="0"/>
          <w:color w:val="414d57"/>
          <w:sz w:val="24"/>
          <w:szCs w:val="24"/>
          <w:u w:color="414d57"/>
          <w:rtl w:val="0"/>
          <w14:textFill>
            <w14:solidFill>
              <w14:srgbClr w14:val="414D57"/>
            </w14:solidFill>
          </w14:textFill>
        </w:rPr>
        <w:t xml:space="preserve">(0,25%), </w:t>
      </w:r>
      <w:r>
        <w:rPr>
          <w:rFonts w:ascii="Roboto" w:cs="Roboto" w:hAnsi="Roboto" w:eastAsia="Roboto"/>
          <w:outline w:val="0"/>
          <w:color w:val="414d57"/>
          <w:sz w:val="24"/>
          <w:szCs w:val="24"/>
          <w:u w:color="414d57"/>
          <w:rtl w:val="0"/>
          <w14:textFill>
            <w14:solidFill>
              <w14:srgbClr w14:val="414D57"/>
            </w14:solidFill>
          </w14:textFill>
        </w:rPr>
        <w:t>ετησίως υπολογιζόμενο</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είτε σε έως εβδομήντα δύο </w:t>
      </w:r>
      <w:r>
        <w:rPr>
          <w:rFonts w:ascii="Roboto" w:cs="Roboto" w:hAnsi="Roboto" w:eastAsia="Roboto"/>
          <w:outline w:val="0"/>
          <w:color w:val="414d57"/>
          <w:sz w:val="24"/>
          <w:szCs w:val="24"/>
          <w:u w:color="414d57"/>
          <w:rtl w:val="0"/>
          <w14:textFill>
            <w14:solidFill>
              <w14:srgbClr w14:val="414D57"/>
            </w14:solidFill>
          </w14:textFill>
        </w:rPr>
        <w:t xml:space="preserve">(72) </w:t>
      </w:r>
      <w:r>
        <w:rPr>
          <w:rFonts w:ascii="Roboto" w:cs="Roboto" w:hAnsi="Roboto" w:eastAsia="Roboto"/>
          <w:outline w:val="0"/>
          <w:color w:val="414d57"/>
          <w:sz w:val="24"/>
          <w:szCs w:val="24"/>
          <w:u w:color="414d57"/>
          <w:rtl w:val="0"/>
          <w14:textFill>
            <w14:solidFill>
              <w14:srgbClr w14:val="414D57"/>
            </w14:solidFill>
          </w14:textFill>
        </w:rPr>
        <w:t>δόσεις με επιτόκιο που υπολογίζεται με βάση το τελευταίο δημοσιευμένο μέσο ετήσιο επιτόκιο δανείων σε ευρώ χωρίς καθορισμένη διάρκεια αλληλόχρεων λογαριασμών που χορηγούνται από όλα τα πιστωτικά ιδρύματα στην Ελλάδα σε μη χρηματοπιστωτικές επιχειρήσεις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όπως αυτό δημοσιεύεται από την Τράπεζα της Ελλάδος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πλέον μιάμισης εκατοστιαίας μονάδας </w:t>
      </w:r>
      <w:r>
        <w:rPr>
          <w:rFonts w:ascii="Roboto" w:cs="Roboto" w:hAnsi="Roboto" w:eastAsia="Roboto"/>
          <w:outline w:val="0"/>
          <w:color w:val="414d57"/>
          <w:sz w:val="24"/>
          <w:szCs w:val="24"/>
          <w:u w:color="414d57"/>
          <w:rtl w:val="0"/>
          <w14:textFill>
            <w14:solidFill>
              <w14:srgbClr w14:val="414D57"/>
            </w14:solidFill>
          </w14:textFill>
        </w:rPr>
        <w:t xml:space="preserve">(1,5%), </w:t>
      </w:r>
      <w:r>
        <w:rPr>
          <w:rFonts w:ascii="Roboto" w:cs="Roboto" w:hAnsi="Roboto" w:eastAsia="Roboto"/>
          <w:outline w:val="0"/>
          <w:color w:val="414d57"/>
          <w:sz w:val="24"/>
          <w:szCs w:val="24"/>
          <w:u w:color="414d57"/>
          <w:rtl w:val="0"/>
          <w14:textFill>
            <w14:solidFill>
              <w14:srgbClr w14:val="414D57"/>
            </w14:solidFill>
          </w14:textFill>
        </w:rPr>
        <w:t>ετησίως υπολογιζόμενο</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υπό τις εξής προϋποθέσεις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shd w:val="clear" w:color="auto" w:fill="ffffff"/>
        <w:spacing w:after="330" w:line="240" w:lineRule="auto"/>
        <w:rPr>
          <w:rFonts w:ascii="Roboto" w:cs="Roboto" w:hAnsi="Roboto" w:eastAsia="Roboto"/>
          <w:outline w:val="0"/>
          <w:color w:val="414d57"/>
          <w:sz w:val="24"/>
          <w:szCs w:val="24"/>
          <w:u w:color="414d57"/>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α</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Ο οφειλέτης να μην είχε ληξιπρόθεσμες οφειλές ή αρρύθμιστες ληξιπρόθεσμες οφειλές στις ταμειακές υπηρεσίες των δήμων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.11.2021 </w:t>
      </w:r>
      <w:r>
        <w:rPr>
          <w:rFonts w:ascii="Roboto" w:cs="Roboto" w:hAnsi="Roboto" w:eastAsia="Roboto"/>
          <w:outline w:val="0"/>
          <w:color w:val="414d57"/>
          <w:sz w:val="24"/>
          <w:szCs w:val="24"/>
          <w:u w:color="414d57"/>
          <w:rtl w:val="0"/>
          <w14:textFill>
            <w14:solidFill>
              <w14:srgbClr w14:val="414D57"/>
            </w14:solidFill>
          </w14:textFill>
        </w:rPr>
        <w:t xml:space="preserve">και επιπλέον να έχει καταβάλει όλες τις μηνιαίες δόσεις των ρυθμίσεων των εκατό </w:t>
      </w:r>
      <w:r>
        <w:rPr>
          <w:rFonts w:ascii="Roboto" w:cs="Roboto" w:hAnsi="Roboto" w:eastAsia="Roboto"/>
          <w:outline w:val="0"/>
          <w:color w:val="414d57"/>
          <w:sz w:val="24"/>
          <w:szCs w:val="24"/>
          <w:u w:color="414d57"/>
          <w:rtl w:val="0"/>
          <w14:textFill>
            <w14:solidFill>
              <w14:srgbClr w14:val="414D57"/>
            </w14:solidFill>
          </w14:textFill>
        </w:rPr>
        <w:t xml:space="preserve">(100) </w:t>
      </w:r>
      <w:r>
        <w:rPr>
          <w:rFonts w:ascii="Roboto" w:cs="Roboto" w:hAnsi="Roboto" w:eastAsia="Roboto"/>
          <w:outline w:val="0"/>
          <w:color w:val="414d57"/>
          <w:sz w:val="24"/>
          <w:szCs w:val="24"/>
          <w:u w:color="414d57"/>
          <w:rtl w:val="0"/>
          <w14:textFill>
            <w14:solidFill>
              <w14:srgbClr w14:val="414D57"/>
            </w14:solidFill>
          </w14:textFill>
        </w:rPr>
        <w:t>δόσεων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έως την ημερομηνία υπαγωγής στη νέα ρύθμιση</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εφόσον είχε υπαχθεί σε αυτές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shd w:val="clear" w:color="auto" w:fill="ffffff"/>
        <w:spacing w:after="330" w:line="240" w:lineRule="auto"/>
        <w:rPr>
          <w:rFonts w:ascii="Roboto" w:cs="Roboto" w:hAnsi="Roboto" w:eastAsia="Roboto"/>
          <w:outline w:val="0"/>
          <w:color w:val="414d57"/>
          <w:sz w:val="24"/>
          <w:szCs w:val="24"/>
          <w:u w:color="414d57"/>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β</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Ο οφειλέτης να έχει υποβάλλει όλες τις δηλώσεις εισοδήματος για την τελευταία πενταετία μέχρι την </w:t>
      </w:r>
      <w:r>
        <w:rPr>
          <w:rFonts w:ascii="Roboto" w:cs="Roboto" w:hAnsi="Roboto" w:eastAsia="Roboto"/>
          <w:outline w:val="0"/>
          <w:color w:val="414d57"/>
          <w:sz w:val="24"/>
          <w:szCs w:val="24"/>
          <w:u w:color="414d57"/>
          <w:rtl w:val="0"/>
          <w14:textFill>
            <w14:solidFill>
              <w14:srgbClr w14:val="414D57"/>
            </w14:solidFill>
          </w14:textFill>
        </w:rPr>
        <w:t>31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.12.2022.</w:t>
      </w:r>
    </w:p>
    <w:p>
      <w:pPr>
        <w:pStyle w:val="Κύριο τμήμα"/>
        <w:shd w:val="clear" w:color="auto" w:fill="ffffff"/>
        <w:spacing w:after="330" w:line="240" w:lineRule="auto"/>
        <w:rPr>
          <w:rFonts w:ascii="Roboto" w:cs="Roboto" w:hAnsi="Roboto" w:eastAsia="Roboto"/>
          <w:outline w:val="0"/>
          <w:color w:val="414d57"/>
          <w:sz w:val="24"/>
          <w:szCs w:val="24"/>
          <w:u w:color="414d57"/>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γ</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Ο οφειλέτης κατά τον χρόνο υπαγωγής στη ρύθμιση να μην έχει καταδικαστεί αμετάκλητα για φοροδιαφυγή ή λαθρεμπορία</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5"/>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Το ελάχιστο ποσό μηνιαίας καταβολής δόσης ανέρχεται σε τριάντα </w:t>
      </w:r>
      <w:r>
        <w:rPr>
          <w:rFonts w:ascii="Roboto" w:cs="Roboto" w:hAnsi="Roboto" w:eastAsia="Roboto"/>
          <w:outline w:val="0"/>
          <w:color w:val="414d57"/>
          <w:sz w:val="24"/>
          <w:szCs w:val="24"/>
          <w:u w:color="414d57"/>
          <w:rtl w:val="0"/>
          <w14:textFill>
            <w14:solidFill>
              <w14:srgbClr w14:val="414D57"/>
            </w14:solidFill>
          </w14:textFill>
        </w:rPr>
        <w:t xml:space="preserve">(30) </w:t>
      </w:r>
      <w:r>
        <w:rPr>
          <w:rFonts w:ascii="Roboto" w:cs="Roboto" w:hAnsi="Roboto" w:eastAsia="Roboto"/>
          <w:outline w:val="0"/>
          <w:color w:val="414d57"/>
          <w:sz w:val="24"/>
          <w:szCs w:val="24"/>
          <w:u w:color="414d57"/>
          <w:rtl w:val="0"/>
          <w14:textFill>
            <w14:solidFill>
              <w14:srgbClr w14:val="414D57"/>
            </w14:solidFill>
          </w14:textFill>
        </w:rPr>
        <w:t>ευρώ</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Σε περίπτωση ένταξης στη νέα ρύθμιση ισχύουν όλα τα ευεργετήματα των άρθρων </w:t>
      </w:r>
      <w:r>
        <w:rPr>
          <w:rFonts w:ascii="Roboto" w:cs="Roboto" w:hAnsi="Roboto" w:eastAsia="Roboto"/>
          <w:outline w:val="0"/>
          <w:color w:val="414d57"/>
          <w:sz w:val="24"/>
          <w:szCs w:val="24"/>
          <w:u w:color="414d57"/>
          <w:rtl w:val="0"/>
          <w14:textFill>
            <w14:solidFill>
              <w14:srgbClr w14:val="414D57"/>
            </w14:solidFill>
          </w14:textFill>
        </w:rPr>
        <w:t xml:space="preserve">110 </w:t>
      </w:r>
      <w:r>
        <w:rPr>
          <w:rFonts w:ascii="Roboto" w:cs="Roboto" w:hAnsi="Roboto" w:eastAsia="Roboto"/>
          <w:outline w:val="0"/>
          <w:color w:val="414d57"/>
          <w:sz w:val="24"/>
          <w:szCs w:val="24"/>
          <w:u w:color="414d57"/>
          <w:rtl w:val="0"/>
          <w14:textFill>
            <w14:solidFill>
              <w14:srgbClr w14:val="414D57"/>
            </w14:solidFill>
          </w14:textFill>
        </w:rPr>
        <w:t xml:space="preserve">έως και </w:t>
      </w:r>
      <w:r>
        <w:rPr>
          <w:rFonts w:ascii="Roboto" w:cs="Roboto" w:hAnsi="Roboto" w:eastAsia="Roboto"/>
          <w:outline w:val="0"/>
          <w:color w:val="414d57"/>
          <w:sz w:val="24"/>
          <w:szCs w:val="24"/>
          <w:u w:color="414d57"/>
          <w:rtl w:val="0"/>
          <w14:textFill>
            <w14:solidFill>
              <w14:srgbClr w14:val="414D57"/>
            </w14:solidFill>
          </w14:textFill>
        </w:rPr>
        <w:t xml:space="preserve">117 </w:t>
      </w:r>
      <w:r>
        <w:rPr>
          <w:rFonts w:ascii="Roboto" w:cs="Roboto" w:hAnsi="Roboto" w:eastAsia="Roboto"/>
          <w:outline w:val="0"/>
          <w:color w:val="414d57"/>
          <w:sz w:val="24"/>
          <w:szCs w:val="24"/>
          <w:u w:color="414d57"/>
          <w:rtl w:val="0"/>
          <w14:textFill>
            <w14:solidFill>
              <w14:srgbClr w14:val="414D57"/>
            </w14:solidFill>
          </w14:textFill>
        </w:rPr>
        <w:t>του ν</w:t>
      </w:r>
      <w:r>
        <w:rPr>
          <w:rFonts w:ascii="Roboto" w:cs="Roboto" w:hAnsi="Roboto" w:eastAsia="Roboto"/>
          <w:outline w:val="0"/>
          <w:color w:val="414d57"/>
          <w:sz w:val="24"/>
          <w:szCs w:val="24"/>
          <w:u w:color="414d57"/>
          <w:rtl w:val="0"/>
          <w14:textFill>
            <w14:solidFill>
              <w14:srgbClr w14:val="414D57"/>
            </w14:solidFill>
          </w14:textFill>
        </w:rPr>
        <w:t>. 4611/2019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 xml:space="preserve">73) </w:t>
      </w:r>
      <w:r>
        <w:rPr>
          <w:rFonts w:ascii="Roboto" w:cs="Roboto" w:hAnsi="Roboto" w:eastAsia="Roboto"/>
          <w:outline w:val="0"/>
          <w:color w:val="414d57"/>
          <w:sz w:val="24"/>
          <w:szCs w:val="24"/>
          <w:u w:color="414d57"/>
          <w:rtl w:val="0"/>
          <w14:textFill>
            <w14:solidFill>
              <w14:srgbClr w14:val="414D57"/>
            </w14:solidFill>
          </w14:textFill>
        </w:rPr>
        <w:t xml:space="preserve">και των άρθρων </w:t>
      </w:r>
      <w:r>
        <w:rPr>
          <w:rFonts w:ascii="Roboto" w:cs="Roboto" w:hAnsi="Roboto" w:eastAsia="Roboto"/>
          <w:outline w:val="0"/>
          <w:color w:val="414d57"/>
          <w:sz w:val="24"/>
          <w:szCs w:val="24"/>
          <w:u w:color="414d57"/>
          <w:rtl w:val="0"/>
          <w14:textFill>
            <w14:solidFill>
              <w14:srgbClr w14:val="414D57"/>
            </w14:solidFill>
          </w14:textFill>
        </w:rPr>
        <w:t xml:space="preserve">165 </w:t>
      </w:r>
      <w:r>
        <w:rPr>
          <w:rFonts w:ascii="Roboto" w:cs="Roboto" w:hAnsi="Roboto" w:eastAsia="Roboto"/>
          <w:outline w:val="0"/>
          <w:color w:val="414d57"/>
          <w:sz w:val="24"/>
          <w:szCs w:val="24"/>
          <w:u w:color="414d57"/>
          <w:rtl w:val="0"/>
          <w14:textFill>
            <w14:solidFill>
              <w14:srgbClr w14:val="414D57"/>
            </w14:solidFill>
          </w14:textFill>
        </w:rPr>
        <w:t xml:space="preserve">έως και </w:t>
      </w:r>
      <w:r>
        <w:rPr>
          <w:rFonts w:ascii="Roboto" w:cs="Roboto" w:hAnsi="Roboto" w:eastAsia="Roboto"/>
          <w:outline w:val="0"/>
          <w:color w:val="414d57"/>
          <w:sz w:val="24"/>
          <w:szCs w:val="24"/>
          <w:u w:color="414d57"/>
          <w:rtl w:val="0"/>
          <w14:textFill>
            <w14:solidFill>
              <w14:srgbClr w14:val="414D57"/>
            </w14:solidFill>
          </w14:textFill>
        </w:rPr>
        <w:t xml:space="preserve">172 </w:t>
      </w:r>
      <w:r>
        <w:rPr>
          <w:rFonts w:ascii="Roboto" w:cs="Roboto" w:hAnsi="Roboto" w:eastAsia="Roboto"/>
          <w:outline w:val="0"/>
          <w:color w:val="414d57"/>
          <w:sz w:val="24"/>
          <w:szCs w:val="24"/>
          <w:u w:color="414d57"/>
          <w:rtl w:val="0"/>
          <w14:textFill>
            <w14:solidFill>
              <w14:srgbClr w14:val="414D57"/>
            </w14:solidFill>
          </w14:textFill>
        </w:rPr>
        <w:t>του ν</w:t>
      </w:r>
      <w:r>
        <w:rPr>
          <w:rFonts w:ascii="Roboto" w:cs="Roboto" w:hAnsi="Roboto" w:eastAsia="Roboto"/>
          <w:outline w:val="0"/>
          <w:color w:val="414d57"/>
          <w:sz w:val="24"/>
          <w:szCs w:val="24"/>
          <w:u w:color="414d57"/>
          <w:rtl w:val="0"/>
          <w14:textFill>
            <w14:solidFill>
              <w14:srgbClr w14:val="414D57"/>
            </w14:solidFill>
          </w14:textFill>
        </w:rPr>
        <w:t>. 4764/2020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 xml:space="preserve">256), </w:t>
      </w:r>
      <w:r>
        <w:rPr>
          <w:rFonts w:ascii="Roboto" w:cs="Roboto" w:hAnsi="Roboto" w:eastAsia="Roboto"/>
          <w:outline w:val="0"/>
          <w:color w:val="414d57"/>
          <w:sz w:val="24"/>
          <w:szCs w:val="24"/>
          <w:u w:color="414d57"/>
          <w:rtl w:val="0"/>
          <w14:textFill>
            <w14:solidFill>
              <w14:srgbClr w14:val="414D57"/>
            </w14:solidFill>
          </w14:textFill>
        </w:rPr>
        <w:t>όπως η χορήγηση αποδεικτικού ενημερότητας και η αναστολή της συνέχισης της διαδικασίας αναγκαστικής εκτέλεσης επί των οφειλών που ρυθμίζονται</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Μπορούν να ενταχθούν στη νέα ρύθμιση των τριάντα έξι </w:t>
      </w:r>
      <w:r>
        <w:rPr>
          <w:rFonts w:ascii="Roboto" w:cs="Roboto" w:hAnsi="Roboto" w:eastAsia="Roboto"/>
          <w:outline w:val="0"/>
          <w:color w:val="414d57"/>
          <w:sz w:val="24"/>
          <w:szCs w:val="24"/>
          <w:u w:color="414d57"/>
          <w:rtl w:val="0"/>
          <w14:textFill>
            <w14:solidFill>
              <w14:srgbClr w14:val="414D57"/>
            </w14:solidFill>
          </w14:textFill>
        </w:rPr>
        <w:t xml:space="preserve">(36) </w:t>
      </w:r>
      <w:r>
        <w:rPr>
          <w:rFonts w:ascii="Roboto" w:cs="Roboto" w:hAnsi="Roboto" w:eastAsia="Roboto"/>
          <w:outline w:val="0"/>
          <w:color w:val="414d57"/>
          <w:sz w:val="24"/>
          <w:szCs w:val="24"/>
          <w:u w:color="414d57"/>
          <w:rtl w:val="0"/>
          <w14:textFill>
            <w14:solidFill>
              <w14:srgbClr w14:val="414D57"/>
            </w14:solidFill>
          </w14:textFill>
        </w:rPr>
        <w:t xml:space="preserve">ή εβδομήντα δύο </w:t>
      </w:r>
      <w:r>
        <w:rPr>
          <w:rFonts w:ascii="Roboto" w:cs="Roboto" w:hAnsi="Roboto" w:eastAsia="Roboto"/>
          <w:outline w:val="0"/>
          <w:color w:val="414d57"/>
          <w:sz w:val="24"/>
          <w:szCs w:val="24"/>
          <w:u w:color="414d57"/>
          <w:rtl w:val="0"/>
          <w14:textFill>
            <w14:solidFill>
              <w14:srgbClr w14:val="414D57"/>
            </w14:solidFill>
          </w14:textFill>
        </w:rPr>
        <w:t xml:space="preserve">(72) </w:t>
      </w:r>
      <w:r>
        <w:rPr>
          <w:rFonts w:ascii="Roboto" w:cs="Roboto" w:hAnsi="Roboto" w:eastAsia="Roboto"/>
          <w:outline w:val="0"/>
          <w:color w:val="414d57"/>
          <w:sz w:val="24"/>
          <w:szCs w:val="24"/>
          <w:u w:color="414d57"/>
          <w:rtl w:val="0"/>
          <w14:textFill>
            <w14:solidFill>
              <w14:srgbClr w14:val="414D57"/>
            </w14:solidFill>
          </w14:textFill>
        </w:rPr>
        <w:t xml:space="preserve">δόσεων και οφειλές που έχουν καταστεί ληξιπρόθεσμες μετά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.11.2021 </w:t>
      </w:r>
      <w:r>
        <w:rPr>
          <w:rFonts w:ascii="Roboto" w:cs="Roboto" w:hAnsi="Roboto" w:eastAsia="Roboto"/>
          <w:outline w:val="0"/>
          <w:color w:val="414d57"/>
          <w:sz w:val="24"/>
          <w:szCs w:val="24"/>
          <w:u w:color="414d57"/>
          <w:rtl w:val="0"/>
          <w14:textFill>
            <w14:solidFill>
              <w14:srgbClr w14:val="414D57"/>
            </w14:solidFill>
          </w14:textFill>
        </w:rPr>
        <w:t xml:space="preserve">και είναι ενταγμένες σε εξυπηρετούμενες κατά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.2.2023 </w:t>
      </w:r>
      <w:r>
        <w:rPr>
          <w:rFonts w:ascii="Roboto" w:cs="Roboto" w:hAnsi="Roboto" w:eastAsia="Roboto"/>
          <w:outline w:val="0"/>
          <w:color w:val="414d57"/>
          <w:sz w:val="24"/>
          <w:szCs w:val="24"/>
          <w:u w:color="414d57"/>
          <w:rtl w:val="0"/>
          <w14:textFill>
            <w14:solidFill>
              <w14:srgbClr w14:val="414D57"/>
            </w14:solidFill>
          </w14:textFill>
        </w:rPr>
        <w:t>πάγιες ρυθμίσεις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εφόσον οι ρυθμίσεις αυτές περιλαμβάνουν αποκλειστικά τέτοιες οφειλές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Προκειμένου ο οφειλέτης να ενταχθεί στη νέα ρύθμιση των τριάντα έξι </w:t>
      </w:r>
      <w:r>
        <w:rPr>
          <w:rFonts w:ascii="Roboto" w:cs="Roboto" w:hAnsi="Roboto" w:eastAsia="Roboto"/>
          <w:outline w:val="0"/>
          <w:color w:val="414d57"/>
          <w:sz w:val="24"/>
          <w:szCs w:val="24"/>
          <w:u w:color="414d57"/>
          <w:rtl w:val="0"/>
          <w14:textFill>
            <w14:solidFill>
              <w14:srgbClr w14:val="414D57"/>
            </w14:solidFill>
          </w14:textFill>
        </w:rPr>
        <w:t xml:space="preserve">(36) </w:t>
      </w:r>
      <w:r>
        <w:rPr>
          <w:rFonts w:ascii="Roboto" w:cs="Roboto" w:hAnsi="Roboto" w:eastAsia="Roboto"/>
          <w:outline w:val="0"/>
          <w:color w:val="414d57"/>
          <w:sz w:val="24"/>
          <w:szCs w:val="24"/>
          <w:u w:color="414d57"/>
          <w:rtl w:val="0"/>
          <w14:textFill>
            <w14:solidFill>
              <w14:srgbClr w14:val="414D57"/>
            </w14:solidFill>
          </w14:textFill>
        </w:rPr>
        <w:t xml:space="preserve">ή εβδομήντα δύο </w:t>
      </w:r>
      <w:r>
        <w:rPr>
          <w:rFonts w:ascii="Roboto" w:cs="Roboto" w:hAnsi="Roboto" w:eastAsia="Roboto"/>
          <w:outline w:val="0"/>
          <w:color w:val="414d57"/>
          <w:sz w:val="24"/>
          <w:szCs w:val="24"/>
          <w:u w:color="414d57"/>
          <w:rtl w:val="0"/>
          <w14:textFill>
            <w14:solidFill>
              <w14:srgbClr w14:val="414D57"/>
            </w14:solidFill>
          </w14:textFill>
        </w:rPr>
        <w:t xml:space="preserve">(72) </w:t>
      </w:r>
      <w:r>
        <w:rPr>
          <w:rFonts w:ascii="Roboto" w:cs="Roboto" w:hAnsi="Roboto" w:eastAsia="Roboto"/>
          <w:outline w:val="0"/>
          <w:color w:val="414d57"/>
          <w:sz w:val="24"/>
          <w:szCs w:val="24"/>
          <w:u w:color="414d57"/>
          <w:rtl w:val="0"/>
          <w14:textFill>
            <w14:solidFill>
              <w14:srgbClr w14:val="414D57"/>
            </w14:solidFill>
          </w14:textFill>
        </w:rPr>
        <w:t>δόσεων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αν έχει λοιπές αρρύθμιστες ληξιπρόθεσμες οφειλές που δεν έχει εντάξει σε άλλη ενήμερη ρύθμιση δόσεων τμηματικής καταβολής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υποχρεούται εντός μηνός από την επικύρωση της ένταξης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να τις ρυθμίσει με την πάγια ρύθμιση των είκοσι τεσσάρων </w:t>
      </w:r>
      <w:r>
        <w:rPr>
          <w:rFonts w:ascii="Roboto" w:cs="Roboto" w:hAnsi="Roboto" w:eastAsia="Roboto"/>
          <w:outline w:val="0"/>
          <w:color w:val="414d57"/>
          <w:sz w:val="24"/>
          <w:szCs w:val="24"/>
          <w:u w:color="414d57"/>
          <w:rtl w:val="0"/>
          <w14:textFill>
            <w14:solidFill>
              <w14:srgbClr w14:val="414D57"/>
            </w14:solidFill>
          </w14:textFill>
        </w:rPr>
        <w:t xml:space="preserve">(24) </w:t>
      </w:r>
      <w:r>
        <w:rPr>
          <w:rFonts w:ascii="Roboto" w:cs="Roboto" w:hAnsi="Roboto" w:eastAsia="Roboto"/>
          <w:outline w:val="0"/>
          <w:color w:val="414d57"/>
          <w:sz w:val="24"/>
          <w:szCs w:val="24"/>
          <w:u w:color="414d57"/>
          <w:rtl w:val="0"/>
          <w14:textFill>
            <w14:solidFill>
              <w14:srgbClr w14:val="414D57"/>
            </w14:solidFill>
          </w14:textFill>
        </w:rPr>
        <w:t xml:space="preserve">ή σαράντα οκτώ </w:t>
      </w:r>
      <w:r>
        <w:rPr>
          <w:rFonts w:ascii="Roboto" w:cs="Roboto" w:hAnsi="Roboto" w:eastAsia="Roboto"/>
          <w:outline w:val="0"/>
          <w:color w:val="414d57"/>
          <w:sz w:val="24"/>
          <w:szCs w:val="24"/>
          <w:u w:color="414d57"/>
          <w:rtl w:val="0"/>
          <w14:textFill>
            <w14:solidFill>
              <w14:srgbClr w14:val="414D57"/>
            </w14:solidFill>
          </w14:textFill>
        </w:rPr>
        <w:t xml:space="preserve">(48) </w:t>
      </w:r>
      <w:r>
        <w:rPr>
          <w:rFonts w:ascii="Roboto" w:cs="Roboto" w:hAnsi="Roboto" w:eastAsia="Roboto"/>
          <w:outline w:val="0"/>
          <w:color w:val="414d57"/>
          <w:sz w:val="24"/>
          <w:szCs w:val="24"/>
          <w:u w:color="414d57"/>
          <w:rtl w:val="0"/>
          <w14:textFill>
            <w14:solidFill>
              <w14:srgbClr w14:val="414D57"/>
            </w14:solidFill>
          </w14:textFill>
        </w:rPr>
        <w:t>δόσεων κατά περίπτωση</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Εξαιρούνται από τη ρύθμιση όσες οφειλές δεν μπορούν να υπαχθούν σε νομοθετική ρύθμιση τμηματικής καταβολής ή η ρύθμισή τους απαγορεύεται από άλλους νόμους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Ρυθμίσεις των άρθρων </w:t>
      </w:r>
      <w:r>
        <w:rPr>
          <w:rFonts w:ascii="Roboto" w:cs="Roboto" w:hAnsi="Roboto" w:eastAsia="Roboto"/>
          <w:outline w:val="0"/>
          <w:color w:val="414d57"/>
          <w:sz w:val="24"/>
          <w:szCs w:val="24"/>
          <w:u w:color="414d57"/>
          <w:rtl w:val="0"/>
          <w14:textFill>
            <w14:solidFill>
              <w14:srgbClr w14:val="414D57"/>
            </w14:solidFill>
          </w14:textFill>
        </w:rPr>
        <w:t xml:space="preserve">110 </w:t>
      </w:r>
      <w:r>
        <w:rPr>
          <w:rFonts w:ascii="Roboto" w:cs="Roboto" w:hAnsi="Roboto" w:eastAsia="Roboto"/>
          <w:outline w:val="0"/>
          <w:color w:val="414d57"/>
          <w:sz w:val="24"/>
          <w:szCs w:val="24"/>
          <w:u w:color="414d57"/>
          <w:rtl w:val="0"/>
          <w14:textFill>
            <w14:solidFill>
              <w14:srgbClr w14:val="414D57"/>
            </w14:solidFill>
          </w14:textFill>
        </w:rPr>
        <w:t xml:space="preserve">έως και </w:t>
      </w:r>
      <w:r>
        <w:rPr>
          <w:rFonts w:ascii="Roboto" w:cs="Roboto" w:hAnsi="Roboto" w:eastAsia="Roboto"/>
          <w:outline w:val="0"/>
          <w:color w:val="414d57"/>
          <w:sz w:val="24"/>
          <w:szCs w:val="24"/>
          <w:u w:color="414d57"/>
          <w:rtl w:val="0"/>
          <w14:textFill>
            <w14:solidFill>
              <w14:srgbClr w14:val="414D57"/>
            </w14:solidFill>
          </w14:textFill>
        </w:rPr>
        <w:t xml:space="preserve">117 </w:t>
      </w:r>
      <w:r>
        <w:rPr>
          <w:rFonts w:ascii="Roboto" w:cs="Roboto" w:hAnsi="Roboto" w:eastAsia="Roboto"/>
          <w:outline w:val="0"/>
          <w:color w:val="414d57"/>
          <w:sz w:val="24"/>
          <w:szCs w:val="24"/>
          <w:u w:color="414d57"/>
          <w:rtl w:val="0"/>
          <w14:textFill>
            <w14:solidFill>
              <w14:srgbClr w14:val="414D57"/>
            </w14:solidFill>
          </w14:textFill>
        </w:rPr>
        <w:t>του ν</w:t>
      </w:r>
      <w:r>
        <w:rPr>
          <w:rFonts w:ascii="Roboto" w:cs="Roboto" w:hAnsi="Roboto" w:eastAsia="Roboto"/>
          <w:outline w:val="0"/>
          <w:color w:val="414d57"/>
          <w:sz w:val="24"/>
          <w:szCs w:val="24"/>
          <w:u w:color="414d57"/>
          <w:rtl w:val="0"/>
          <w14:textFill>
            <w14:solidFill>
              <w14:srgbClr w14:val="414D57"/>
            </w14:solidFill>
          </w14:textFill>
        </w:rPr>
        <w:t>. 4611/2019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 xml:space="preserve">73) </w:t>
      </w:r>
      <w:r>
        <w:rPr>
          <w:rFonts w:ascii="Roboto" w:cs="Roboto" w:hAnsi="Roboto" w:eastAsia="Roboto"/>
          <w:outline w:val="0"/>
          <w:color w:val="414d57"/>
          <w:sz w:val="24"/>
          <w:szCs w:val="24"/>
          <w:u w:color="414d57"/>
          <w:rtl w:val="0"/>
          <w14:textFill>
            <w14:solidFill>
              <w14:srgbClr w14:val="414D57"/>
            </w14:solidFill>
          </w14:textFill>
        </w:rPr>
        <w:t xml:space="preserve">και των άρθρων </w:t>
      </w:r>
      <w:r>
        <w:rPr>
          <w:rFonts w:ascii="Roboto" w:cs="Roboto" w:hAnsi="Roboto" w:eastAsia="Roboto"/>
          <w:outline w:val="0"/>
          <w:color w:val="414d57"/>
          <w:sz w:val="24"/>
          <w:szCs w:val="24"/>
          <w:u w:color="414d57"/>
          <w:rtl w:val="0"/>
          <w14:textFill>
            <w14:solidFill>
              <w14:srgbClr w14:val="414D57"/>
            </w14:solidFill>
          </w14:textFill>
        </w:rPr>
        <w:t xml:space="preserve">165 </w:t>
      </w:r>
      <w:r>
        <w:rPr>
          <w:rFonts w:ascii="Roboto" w:cs="Roboto" w:hAnsi="Roboto" w:eastAsia="Roboto"/>
          <w:outline w:val="0"/>
          <w:color w:val="414d57"/>
          <w:sz w:val="24"/>
          <w:szCs w:val="24"/>
          <w:u w:color="414d57"/>
          <w:rtl w:val="0"/>
          <w14:textFill>
            <w14:solidFill>
              <w14:srgbClr w14:val="414D57"/>
            </w14:solidFill>
          </w14:textFill>
        </w:rPr>
        <w:t xml:space="preserve">έως και </w:t>
      </w:r>
      <w:r>
        <w:rPr>
          <w:rFonts w:ascii="Roboto" w:cs="Roboto" w:hAnsi="Roboto" w:eastAsia="Roboto"/>
          <w:outline w:val="0"/>
          <w:color w:val="414d57"/>
          <w:sz w:val="24"/>
          <w:szCs w:val="24"/>
          <w:u w:color="414d57"/>
          <w:rtl w:val="0"/>
          <w14:textFill>
            <w14:solidFill>
              <w14:srgbClr w14:val="414D57"/>
            </w14:solidFill>
          </w14:textFill>
        </w:rPr>
        <w:t xml:space="preserve">172 </w:t>
      </w:r>
      <w:r>
        <w:rPr>
          <w:rFonts w:ascii="Roboto" w:cs="Roboto" w:hAnsi="Roboto" w:eastAsia="Roboto"/>
          <w:outline w:val="0"/>
          <w:color w:val="414d57"/>
          <w:sz w:val="24"/>
          <w:szCs w:val="24"/>
          <w:u w:color="414d57"/>
          <w:rtl w:val="0"/>
          <w14:textFill>
            <w14:solidFill>
              <w14:srgbClr w14:val="414D57"/>
            </w14:solidFill>
          </w14:textFill>
        </w:rPr>
        <w:t>του ν</w:t>
      </w:r>
      <w:r>
        <w:rPr>
          <w:rFonts w:ascii="Roboto" w:cs="Roboto" w:hAnsi="Roboto" w:eastAsia="Roboto"/>
          <w:outline w:val="0"/>
          <w:color w:val="414d57"/>
          <w:sz w:val="24"/>
          <w:szCs w:val="24"/>
          <w:u w:color="414d57"/>
          <w:rtl w:val="0"/>
          <w14:textFill>
            <w14:solidFill>
              <w14:srgbClr w14:val="414D57"/>
            </w14:solidFill>
          </w14:textFill>
        </w:rPr>
        <w:t>. 4764/2020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 xml:space="preserve">256) </w:t>
      </w:r>
      <w:r>
        <w:rPr>
          <w:rFonts w:ascii="Roboto" w:cs="Roboto" w:hAnsi="Roboto" w:eastAsia="Roboto"/>
          <w:outline w:val="0"/>
          <w:color w:val="414d57"/>
          <w:sz w:val="24"/>
          <w:szCs w:val="24"/>
          <w:u w:color="414d57"/>
          <w:rtl w:val="0"/>
          <w14:textFill>
            <w14:solidFill>
              <w14:srgbClr w14:val="414D57"/>
            </w14:solidFill>
          </w14:textFill>
        </w:rPr>
        <w:t xml:space="preserve">που απωλέσθηκαν ή κατέστησαν μη εξυπηρετούμενες έως την </w:t>
      </w:r>
      <w:r>
        <w:rPr>
          <w:rFonts w:ascii="Roboto" w:cs="Roboto" w:hAnsi="Roboto" w:eastAsia="Roboto"/>
          <w:outline w:val="0"/>
          <w:color w:val="414d57"/>
          <w:sz w:val="24"/>
          <w:szCs w:val="24"/>
          <w:u w:color="414d57"/>
          <w:rtl w:val="0"/>
          <w14:textFill>
            <w14:solidFill>
              <w14:srgbClr w14:val="414D57"/>
            </w14:solidFill>
          </w14:textFill>
        </w:rPr>
        <w:t>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.2.2023, </w:t>
      </w:r>
      <w:r>
        <w:rPr>
          <w:rFonts w:ascii="Roboto" w:cs="Roboto" w:hAnsi="Roboto" w:eastAsia="Roboto"/>
          <w:outline w:val="0"/>
          <w:color w:val="414d57"/>
          <w:sz w:val="24"/>
          <w:szCs w:val="24"/>
          <w:u w:color="414d57"/>
          <w:rtl w:val="0"/>
          <w14:textFill>
            <w14:solidFill>
              <w14:srgbClr w14:val="414D57"/>
            </w14:solidFill>
          </w14:textFill>
        </w:rPr>
        <w:t xml:space="preserve">δύνανται να αναβιώσουν με πληρωμή δύο </w:t>
      </w:r>
      <w:r>
        <w:rPr>
          <w:rFonts w:ascii="Roboto" w:cs="Roboto" w:hAnsi="Roboto" w:eastAsia="Roboto"/>
          <w:outline w:val="0"/>
          <w:color w:val="414d57"/>
          <w:sz w:val="24"/>
          <w:szCs w:val="24"/>
          <w:u w:color="414d57"/>
          <w:rtl w:val="0"/>
          <w14:textFill>
            <w14:solidFill>
              <w14:srgbClr w14:val="414D57"/>
            </w14:solidFill>
          </w14:textFill>
        </w:rPr>
        <w:t xml:space="preserve">(2) </w:t>
      </w:r>
      <w:r>
        <w:rPr>
          <w:rFonts w:ascii="Roboto" w:cs="Roboto" w:hAnsi="Roboto" w:eastAsia="Roboto"/>
          <w:outline w:val="0"/>
          <w:color w:val="414d57"/>
          <w:sz w:val="24"/>
          <w:szCs w:val="24"/>
          <w:u w:color="414d57"/>
          <w:rtl w:val="0"/>
          <w14:textFill>
            <w14:solidFill>
              <w14:srgbClr w14:val="414D57"/>
            </w14:solidFill>
          </w14:textFill>
        </w:rPr>
        <w:t xml:space="preserve">δόσεων έως την </w:t>
      </w:r>
      <w:r>
        <w:rPr>
          <w:rFonts w:ascii="Roboto" w:cs="Roboto" w:hAnsi="Roboto" w:eastAsia="Roboto"/>
          <w:outline w:val="0"/>
          <w:color w:val="414d57"/>
          <w:sz w:val="24"/>
          <w:szCs w:val="24"/>
          <w:u w:color="414d57"/>
          <w:rtl w:val="0"/>
          <w14:textFill>
            <w14:solidFill>
              <w14:srgbClr w14:val="414D57"/>
            </w14:solidFill>
          </w14:textFill>
        </w:rPr>
        <w:t>31</w:t>
      </w:r>
      <w:r>
        <w:rPr>
          <w:rFonts w:ascii="Roboto" w:cs="Roboto" w:hAnsi="Roboto" w:eastAsia="Roboto"/>
          <w:outline w:val="0"/>
          <w:color w:val="414d57"/>
          <w:sz w:val="24"/>
          <w:szCs w:val="24"/>
          <w:u w:color="414d57"/>
          <w:rtl w:val="0"/>
          <w14:textFill>
            <w14:solidFill>
              <w14:srgbClr w14:val="414D57"/>
            </w14:solidFill>
          </w14:textFill>
        </w:rPr>
        <w:t>η</w:t>
      </w:r>
      <w:r>
        <w:rPr>
          <w:rFonts w:ascii="Roboto" w:cs="Roboto" w:hAnsi="Roboto" w:eastAsia="Roboto"/>
          <w:outline w:val="0"/>
          <w:color w:val="414d57"/>
          <w:sz w:val="24"/>
          <w:szCs w:val="24"/>
          <w:u w:color="414d57"/>
          <w:rtl w:val="0"/>
          <w14:textFill>
            <w14:solidFill>
              <w14:srgbClr w14:val="414D57"/>
            </w14:solidFill>
          </w14:textFill>
        </w:rPr>
        <w:t xml:space="preserve">.7.2023, </w:t>
      </w:r>
      <w:r>
        <w:rPr>
          <w:rFonts w:ascii="Roboto" w:cs="Roboto" w:hAnsi="Roboto" w:eastAsia="Roboto"/>
          <w:outline w:val="0"/>
          <w:color w:val="414d57"/>
          <w:sz w:val="24"/>
          <w:szCs w:val="24"/>
          <w:u w:color="414d57"/>
          <w:rtl w:val="0"/>
          <w14:textFill>
            <w14:solidFill>
              <w14:srgbClr w14:val="414D57"/>
            </w14:solidFill>
          </w14:textFill>
        </w:rPr>
        <w:t>δηλαδή της τρέχουσας δόσης και μίας επιπλέον που αποσβένει παλαιές υποχρεώσεις με σειρά παλαιότητας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Ποσά που έχουν καταβληθεί ως υπερείσπραξη αποσβένουν τις παλαιότερες δόσεις με σειρά παλαιότητας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Το ύψος εκάστης των ανεξόφλητων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μετά την επανένταξη και τη διενέργεια των αποσβέσεων του πρώτου εδαφίου</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δόσεων της απολεσθείσας ρύθμισης με ημερομηνία λήξης πριν από την ημερομηνία υποβολής της αίτησης επανένταξης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διαμορφώνεται κατόπιν επιβάρυνσης της δόσης με τον τόκο εκπρόθεσμης καταβολής που προβλέπεται στην παρ</w:t>
      </w:r>
      <w:r>
        <w:rPr>
          <w:rFonts w:ascii="Roboto" w:cs="Roboto" w:hAnsi="Roboto" w:eastAsia="Roboto"/>
          <w:outline w:val="0"/>
          <w:color w:val="414d57"/>
          <w:sz w:val="24"/>
          <w:szCs w:val="24"/>
          <w:u w:color="414d57"/>
          <w:rtl w:val="0"/>
          <w:lang w:val="ru-RU"/>
          <w14:textFill>
            <w14:solidFill>
              <w14:srgbClr w14:val="414D57"/>
            </w14:solidFill>
          </w14:textFill>
        </w:rPr>
        <w:t xml:space="preserve">. 1 </w:t>
      </w:r>
      <w:r>
        <w:rPr>
          <w:rFonts w:ascii="Roboto" w:cs="Roboto" w:hAnsi="Roboto" w:eastAsia="Roboto"/>
          <w:outline w:val="0"/>
          <w:color w:val="414d57"/>
          <w:sz w:val="24"/>
          <w:szCs w:val="24"/>
          <w:u w:color="414d57"/>
          <w:rtl w:val="0"/>
          <w14:textFill>
            <w14:solidFill>
              <w14:srgbClr w14:val="414D57"/>
            </w14:solidFill>
          </w14:textFill>
        </w:rPr>
        <w:t xml:space="preserve">του άρθρου </w:t>
      </w:r>
      <w:r>
        <w:rPr>
          <w:rFonts w:ascii="Roboto" w:cs="Roboto" w:hAnsi="Roboto" w:eastAsia="Roboto"/>
          <w:outline w:val="0"/>
          <w:color w:val="414d57"/>
          <w:sz w:val="24"/>
          <w:szCs w:val="24"/>
          <w:u w:color="414d57"/>
          <w:rtl w:val="0"/>
          <w14:textFill>
            <w14:solidFill>
              <w14:srgbClr w14:val="414D57"/>
            </w14:solidFill>
          </w14:textFill>
        </w:rPr>
        <w:t xml:space="preserve">53 </w:t>
      </w:r>
      <w:r>
        <w:rPr>
          <w:rFonts w:ascii="Roboto" w:cs="Roboto" w:hAnsi="Roboto" w:eastAsia="Roboto"/>
          <w:outline w:val="0"/>
          <w:color w:val="414d57"/>
          <w:sz w:val="24"/>
          <w:szCs w:val="24"/>
          <w:u w:color="414d57"/>
          <w:rtl w:val="0"/>
          <w14:textFill>
            <w14:solidFill>
              <w14:srgbClr w14:val="414D57"/>
            </w14:solidFill>
          </w14:textFill>
        </w:rPr>
        <w:t xml:space="preserve">του Κώδικα Φορολογικής Διαδικασίας </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ν</w:t>
      </w:r>
      <w:r>
        <w:rPr>
          <w:rFonts w:ascii="Roboto" w:cs="Roboto" w:hAnsi="Roboto" w:eastAsia="Roboto"/>
          <w:outline w:val="0"/>
          <w:color w:val="414d57"/>
          <w:sz w:val="24"/>
          <w:szCs w:val="24"/>
          <w:u w:color="414d57"/>
          <w:rtl w:val="0"/>
          <w14:textFill>
            <w14:solidFill>
              <w14:srgbClr w14:val="414D57"/>
            </w14:solidFill>
          </w14:textFill>
        </w:rPr>
        <w:t xml:space="preserve">. 4987/2022,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 xml:space="preserve">206, </w:t>
      </w:r>
      <w:r>
        <w:rPr>
          <w:rFonts w:ascii="Roboto" w:cs="Roboto" w:hAnsi="Roboto" w:eastAsia="Roboto"/>
          <w:outline w:val="0"/>
          <w:color w:val="414d57"/>
          <w:sz w:val="24"/>
          <w:szCs w:val="24"/>
          <w:u w:color="414d57"/>
          <w:rtl w:val="0"/>
          <w14:textFill>
            <w14:solidFill>
              <w14:srgbClr w14:val="414D57"/>
            </w14:solidFill>
          </w14:textFill>
        </w:rPr>
        <w:t>Κ</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Φ</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Δ</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και την παρ</w:t>
      </w:r>
      <w:r>
        <w:rPr>
          <w:rFonts w:ascii="Roboto" w:cs="Roboto" w:hAnsi="Roboto" w:eastAsia="Roboto"/>
          <w:outline w:val="0"/>
          <w:color w:val="414d57"/>
          <w:sz w:val="24"/>
          <w:szCs w:val="24"/>
          <w:u w:color="414d57"/>
          <w:rtl w:val="0"/>
          <w:lang w:val="ru-RU"/>
          <w14:textFill>
            <w14:solidFill>
              <w14:srgbClr w14:val="414D57"/>
            </w14:solidFill>
          </w14:textFill>
        </w:rPr>
        <w:t xml:space="preserve">. 1 </w:t>
      </w:r>
      <w:r>
        <w:rPr>
          <w:rFonts w:ascii="Roboto" w:cs="Roboto" w:hAnsi="Roboto" w:eastAsia="Roboto"/>
          <w:outline w:val="0"/>
          <w:color w:val="414d57"/>
          <w:sz w:val="24"/>
          <w:szCs w:val="24"/>
          <w:u w:color="414d57"/>
          <w:rtl w:val="0"/>
          <w14:textFill>
            <w14:solidFill>
              <w14:srgbClr w14:val="414D57"/>
            </w14:solidFill>
          </w14:textFill>
        </w:rPr>
        <w:t xml:space="preserve">του άρθρου </w:t>
      </w:r>
      <w:r>
        <w:rPr>
          <w:rFonts w:ascii="Roboto" w:cs="Roboto" w:hAnsi="Roboto" w:eastAsia="Roboto"/>
          <w:outline w:val="0"/>
          <w:color w:val="414d57"/>
          <w:sz w:val="24"/>
          <w:szCs w:val="24"/>
          <w:u w:color="414d57"/>
          <w:rtl w:val="0"/>
          <w14:textFill>
            <w14:solidFill>
              <w14:srgbClr w14:val="414D57"/>
            </w14:solidFill>
          </w14:textFill>
        </w:rPr>
        <w:t xml:space="preserve">6 </w:t>
      </w:r>
      <w:r>
        <w:rPr>
          <w:rFonts w:ascii="Roboto" w:cs="Roboto" w:hAnsi="Roboto" w:eastAsia="Roboto"/>
          <w:outline w:val="0"/>
          <w:color w:val="414d57"/>
          <w:sz w:val="24"/>
          <w:szCs w:val="24"/>
          <w:u w:color="414d57"/>
          <w:rtl w:val="0"/>
          <w14:textFill>
            <w14:solidFill>
              <w14:srgbClr w14:val="414D57"/>
            </w14:solidFill>
          </w14:textFill>
        </w:rPr>
        <w:t xml:space="preserve">του Κώδικα Είσπραξης Δημοσίων Εσόδων </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ν</w:t>
      </w:r>
      <w:r>
        <w:rPr>
          <w:rFonts w:ascii="Roboto" w:cs="Roboto" w:hAnsi="Roboto" w:eastAsia="Roboto"/>
          <w:outline w:val="0"/>
          <w:color w:val="414d57"/>
          <w:sz w:val="24"/>
          <w:szCs w:val="24"/>
          <w:u w:color="414d57"/>
          <w:rtl w:val="0"/>
          <w14:textFill>
            <w14:solidFill>
              <w14:srgbClr w14:val="414D57"/>
            </w14:solidFill>
          </w14:textFill>
        </w:rPr>
        <w:t xml:space="preserve">. 4978/2022,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lang w:val="ru-RU"/>
          <w14:textFill>
            <w14:solidFill>
              <w14:srgbClr w14:val="414D57"/>
            </w14:solidFill>
          </w14:textFill>
        </w:rPr>
        <w:t xml:space="preserve">190, </w:t>
      </w:r>
      <w:r>
        <w:rPr>
          <w:rFonts w:ascii="Roboto" w:cs="Roboto" w:hAnsi="Roboto" w:eastAsia="Roboto"/>
          <w:outline w:val="0"/>
          <w:color w:val="414d57"/>
          <w:sz w:val="24"/>
          <w:szCs w:val="24"/>
          <w:u w:color="414d57"/>
          <w:rtl w:val="0"/>
          <w14:textFill>
            <w14:solidFill>
              <w14:srgbClr w14:val="414D57"/>
            </w14:solidFill>
          </w14:textFill>
        </w:rPr>
        <w:t>Κ</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Ε</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Δ</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Ε</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ο οποίος υπολογίζεται από την ημερομηνία κατά την οποία κατέστη ληξιπρόθεσμη έως την ημερομηνία υποβολής της αίτησης επανένταξης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Οι δόσεις του προηγούμενου εδαφίου καταβάλλονται</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με σειρά παλαιότητας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μετά τις τυχόν υπολειπόμενες δόσεις της απολεσθείσας ρύθμισης με ημερομηνία λήξης μετά την ημερομηνία υποβολής της αίτησης επανένταξης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Η αναβίωση πραγματοποιείται με όλα τα ευεργετήματα των ρυθμίσεων αυτών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όπως ισχύουν για κάθε ρύθμιση</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 xml:space="preserve">Προκειμένου να αναβιώσει η ρύθμιση των εκατό </w:t>
      </w:r>
      <w:r>
        <w:rPr>
          <w:rFonts w:ascii="Roboto" w:cs="Roboto" w:hAnsi="Roboto" w:eastAsia="Roboto"/>
          <w:outline w:val="0"/>
          <w:color w:val="414d57"/>
          <w:sz w:val="24"/>
          <w:szCs w:val="24"/>
          <w:u w:color="414d57"/>
          <w:rtl w:val="0"/>
          <w14:textFill>
            <w14:solidFill>
              <w14:srgbClr w14:val="414D57"/>
            </w14:solidFill>
          </w14:textFill>
        </w:rPr>
        <w:t xml:space="preserve">(100) </w:t>
      </w:r>
      <w:r>
        <w:rPr>
          <w:rFonts w:ascii="Roboto" w:cs="Roboto" w:hAnsi="Roboto" w:eastAsia="Roboto"/>
          <w:outline w:val="0"/>
          <w:color w:val="414d57"/>
          <w:sz w:val="24"/>
          <w:szCs w:val="24"/>
          <w:u w:color="414d57"/>
          <w:rtl w:val="0"/>
          <w14:textFill>
            <w14:solidFill>
              <w14:srgbClr w14:val="414D57"/>
            </w14:solidFill>
          </w14:textFill>
        </w:rPr>
        <w:t>δόσεων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αν ο οφειλέτης έχει λοιπές αρρύθμιστες ληξιπρόθεσμες οφειλές που δεν έχει εντάξει σε άλλη ενήμερη ρύθμιση δόσεων τμηματικής καταβολής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υποχρεούται εντός μηνός από την επικύρωση της αναβίωσης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να τις ρυθμίσει με την πάγια ρύθμιση των είκοσι τεσσάρων </w:t>
      </w:r>
      <w:r>
        <w:rPr>
          <w:rFonts w:ascii="Roboto" w:cs="Roboto" w:hAnsi="Roboto" w:eastAsia="Roboto"/>
          <w:outline w:val="0"/>
          <w:color w:val="414d57"/>
          <w:sz w:val="24"/>
          <w:szCs w:val="24"/>
          <w:u w:color="414d57"/>
          <w:rtl w:val="0"/>
          <w14:textFill>
            <w14:solidFill>
              <w14:srgbClr w14:val="414D57"/>
            </w14:solidFill>
          </w14:textFill>
        </w:rPr>
        <w:t xml:space="preserve">(24) </w:t>
      </w:r>
      <w:r>
        <w:rPr>
          <w:rFonts w:ascii="Roboto" w:cs="Roboto" w:hAnsi="Roboto" w:eastAsia="Roboto"/>
          <w:outline w:val="0"/>
          <w:color w:val="414d57"/>
          <w:sz w:val="24"/>
          <w:szCs w:val="24"/>
          <w:u w:color="414d57"/>
          <w:rtl w:val="0"/>
          <w14:textFill>
            <w14:solidFill>
              <w14:srgbClr w14:val="414D57"/>
            </w14:solidFill>
          </w14:textFill>
        </w:rPr>
        <w:t xml:space="preserve">ή σαράντα οκτώ </w:t>
      </w:r>
      <w:r>
        <w:rPr>
          <w:rFonts w:ascii="Roboto" w:cs="Roboto" w:hAnsi="Roboto" w:eastAsia="Roboto"/>
          <w:outline w:val="0"/>
          <w:color w:val="414d57"/>
          <w:sz w:val="24"/>
          <w:szCs w:val="24"/>
          <w:u w:color="414d57"/>
          <w:rtl w:val="0"/>
          <w14:textFill>
            <w14:solidFill>
              <w14:srgbClr w14:val="414D57"/>
            </w14:solidFill>
          </w14:textFill>
        </w:rPr>
        <w:t xml:space="preserve">(48) </w:t>
      </w:r>
      <w:r>
        <w:rPr>
          <w:rFonts w:ascii="Roboto" w:cs="Roboto" w:hAnsi="Roboto" w:eastAsia="Roboto"/>
          <w:outline w:val="0"/>
          <w:color w:val="414d57"/>
          <w:sz w:val="24"/>
          <w:szCs w:val="24"/>
          <w:u w:color="414d57"/>
          <w:rtl w:val="0"/>
          <w14:textFill>
            <w14:solidFill>
              <w14:srgbClr w14:val="414D57"/>
            </w14:solidFill>
          </w14:textFill>
        </w:rPr>
        <w:t>δόσεων κατά περίπτωση</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Αν ο οφειλέτης έχει απωλέσει την πάγια ρύθμιση στο παρελθόν</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του δίδεται η δυνατότητα ένταξης στην πάγια ρύθμιση με τους όρους της δεύτερης ευκαιρίας</w:t>
      </w:r>
      <w:r>
        <w:rPr>
          <w:rFonts w:ascii="Roboto" w:cs="Roboto" w:hAnsi="Roboto" w:eastAsia="Roboto"/>
          <w:outline w:val="0"/>
          <w:color w:val="414d57"/>
          <w:sz w:val="24"/>
          <w:szCs w:val="24"/>
          <w:u w:color="414d57"/>
          <w:rtl w:val="0"/>
          <w14:textFill>
            <w14:solidFill>
              <w14:srgbClr w14:val="414D57"/>
            </w14:solidFill>
          </w14:textFill>
        </w:rPr>
        <w:t xml:space="preserve">, </w:t>
      </w:r>
      <w:r>
        <w:rPr>
          <w:rFonts w:ascii="Roboto" w:cs="Roboto" w:hAnsi="Roboto" w:eastAsia="Roboto"/>
          <w:outline w:val="0"/>
          <w:color w:val="414d57"/>
          <w:sz w:val="24"/>
          <w:szCs w:val="24"/>
          <w:u w:color="414d57"/>
          <w:rtl w:val="0"/>
          <w14:textFill>
            <w14:solidFill>
              <w14:srgbClr w14:val="414D57"/>
            </w14:solidFill>
          </w14:textFill>
        </w:rPr>
        <w:t xml:space="preserve">προς τον σκοπό αναβίωσης των ρυθμίσεων των εκατό </w:t>
      </w:r>
      <w:r>
        <w:rPr>
          <w:rFonts w:ascii="Roboto" w:cs="Roboto" w:hAnsi="Roboto" w:eastAsia="Roboto"/>
          <w:outline w:val="0"/>
          <w:color w:val="414d57"/>
          <w:sz w:val="24"/>
          <w:szCs w:val="24"/>
          <w:u w:color="414d57"/>
          <w:rtl w:val="0"/>
          <w14:textFill>
            <w14:solidFill>
              <w14:srgbClr w14:val="414D57"/>
            </w14:solidFill>
          </w14:textFill>
        </w:rPr>
        <w:t xml:space="preserve">(100) </w:t>
      </w:r>
      <w:r>
        <w:rPr>
          <w:rFonts w:ascii="Roboto" w:cs="Roboto" w:hAnsi="Roboto" w:eastAsia="Roboto"/>
          <w:outline w:val="0"/>
          <w:color w:val="414d57"/>
          <w:sz w:val="24"/>
          <w:szCs w:val="24"/>
          <w:u w:color="414d57"/>
          <w:rtl w:val="0"/>
          <w14:textFill>
            <w14:solidFill>
              <w14:srgbClr w14:val="414D57"/>
            </w14:solidFill>
          </w14:textFill>
        </w:rPr>
        <w:t>δόσεων και υπό τον όρο ότι ο οφειλέτης ρυθμίζει το σύνολο των οφειλών του</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Οι αιτήσεις των οφειλετών για υπαγωγή στη ρύθμιση των παρ</w:t>
      </w:r>
      <w:r>
        <w:rPr>
          <w:rFonts w:ascii="Roboto" w:cs="Roboto" w:hAnsi="Roboto" w:eastAsia="Roboto"/>
          <w:outline w:val="0"/>
          <w:color w:val="414d57"/>
          <w:sz w:val="24"/>
          <w:szCs w:val="24"/>
          <w:u w:color="414d57"/>
          <w:rtl w:val="0"/>
          <w:lang w:val="ru-RU"/>
          <w14:textFill>
            <w14:solidFill>
              <w14:srgbClr w14:val="414D57"/>
            </w14:solidFill>
          </w14:textFill>
        </w:rPr>
        <w:t xml:space="preserve">. 1 </w:t>
      </w:r>
      <w:r>
        <w:rPr>
          <w:rFonts w:ascii="Roboto" w:cs="Roboto" w:hAnsi="Roboto" w:eastAsia="Roboto"/>
          <w:outline w:val="0"/>
          <w:color w:val="414d57"/>
          <w:sz w:val="24"/>
          <w:szCs w:val="24"/>
          <w:u w:color="414d57"/>
          <w:rtl w:val="0"/>
          <w14:textFill>
            <w14:solidFill>
              <w14:srgbClr w14:val="414D57"/>
            </w14:solidFill>
          </w14:textFill>
        </w:rPr>
        <w:t xml:space="preserve">έως </w:t>
      </w:r>
      <w:r>
        <w:rPr>
          <w:rFonts w:ascii="Roboto" w:cs="Roboto" w:hAnsi="Roboto" w:eastAsia="Roboto"/>
          <w:outline w:val="0"/>
          <w:color w:val="414d57"/>
          <w:sz w:val="24"/>
          <w:szCs w:val="24"/>
          <w:u w:color="414d57"/>
          <w:rtl w:val="0"/>
          <w14:textFill>
            <w14:solidFill>
              <w14:srgbClr w14:val="414D57"/>
            </w14:solidFill>
          </w14:textFill>
        </w:rPr>
        <w:t xml:space="preserve">6 </w:t>
      </w:r>
      <w:r>
        <w:rPr>
          <w:rFonts w:ascii="Roboto" w:cs="Roboto" w:hAnsi="Roboto" w:eastAsia="Roboto"/>
          <w:outline w:val="0"/>
          <w:color w:val="414d57"/>
          <w:sz w:val="24"/>
          <w:szCs w:val="24"/>
          <w:u w:color="414d57"/>
          <w:rtl w:val="0"/>
          <w14:textFill>
            <w14:solidFill>
              <w14:srgbClr w14:val="414D57"/>
            </w14:solidFill>
          </w14:textFill>
        </w:rPr>
        <w:t>και για αναβίωση της απολεσθείσας ρύθμισης των παρ</w:t>
      </w:r>
      <w:r>
        <w:rPr>
          <w:rFonts w:ascii="Roboto" w:cs="Roboto" w:hAnsi="Roboto" w:eastAsia="Roboto"/>
          <w:outline w:val="0"/>
          <w:color w:val="414d57"/>
          <w:sz w:val="24"/>
          <w:szCs w:val="24"/>
          <w:u w:color="414d57"/>
          <w:rtl w:val="0"/>
          <w14:textFill>
            <w14:solidFill>
              <w14:srgbClr w14:val="414D57"/>
            </w14:solidFill>
          </w14:textFill>
        </w:rPr>
        <w:t xml:space="preserve">. 7 </w:t>
      </w:r>
      <w:r>
        <w:rPr>
          <w:rFonts w:ascii="Roboto" w:cs="Roboto" w:hAnsi="Roboto" w:eastAsia="Roboto"/>
          <w:outline w:val="0"/>
          <w:color w:val="414d57"/>
          <w:sz w:val="24"/>
          <w:szCs w:val="24"/>
          <w:u w:color="414d57"/>
          <w:rtl w:val="0"/>
          <w14:textFill>
            <w14:solidFill>
              <w14:srgbClr w14:val="414D57"/>
            </w14:solidFill>
          </w14:textFill>
        </w:rPr>
        <w:t xml:space="preserve">έως </w:t>
      </w:r>
      <w:r>
        <w:rPr>
          <w:rFonts w:ascii="Roboto" w:cs="Roboto" w:hAnsi="Roboto" w:eastAsia="Roboto"/>
          <w:outline w:val="0"/>
          <w:color w:val="414d57"/>
          <w:sz w:val="24"/>
          <w:szCs w:val="24"/>
          <w:u w:color="414d57"/>
          <w:rtl w:val="0"/>
          <w:lang w:val="ru-RU"/>
          <w14:textFill>
            <w14:solidFill>
              <w14:srgbClr w14:val="414D57"/>
            </w14:solidFill>
          </w14:textFill>
        </w:rPr>
        <w:t xml:space="preserve">10, </w:t>
      </w:r>
      <w:r>
        <w:rPr>
          <w:rFonts w:ascii="Roboto" w:cs="Roboto" w:hAnsi="Roboto" w:eastAsia="Roboto"/>
          <w:outline w:val="0"/>
          <w:color w:val="414d57"/>
          <w:sz w:val="24"/>
          <w:szCs w:val="24"/>
          <w:u w:color="414d57"/>
          <w:rtl w:val="0"/>
          <w14:textFill>
            <w14:solidFill>
              <w14:srgbClr w14:val="414D57"/>
            </w14:solidFill>
          </w14:textFill>
        </w:rPr>
        <w:t xml:space="preserve">υποβάλλονται προς τον οικείο δήμο από την έναρξη ισχύος του παρόντος και μέχρι την </w:t>
      </w:r>
      <w:r>
        <w:rPr>
          <w:rFonts w:ascii="Roboto" w:cs="Roboto" w:hAnsi="Roboto" w:eastAsia="Roboto"/>
          <w:outline w:val="0"/>
          <w:color w:val="414d57"/>
          <w:sz w:val="24"/>
          <w:szCs w:val="24"/>
          <w:u w:color="414d57"/>
          <w:rtl w:val="0"/>
          <w14:textFill>
            <w14:solidFill>
              <w14:srgbClr w14:val="414D57"/>
            </w14:solidFill>
          </w14:textFill>
        </w:rPr>
        <w:t>30</w:t>
      </w:r>
      <w:r>
        <w:rPr>
          <w:rFonts w:ascii="Roboto" w:cs="Roboto" w:hAnsi="Roboto" w:eastAsia="Roboto"/>
          <w:outline w:val="0"/>
          <w:color w:val="414d57"/>
          <w:sz w:val="24"/>
          <w:szCs w:val="24"/>
          <w:u w:color="414d57"/>
          <w:rtl w:val="0"/>
          <w14:textFill>
            <w14:solidFill>
              <w14:srgbClr w14:val="414D57"/>
            </w14:solidFill>
          </w14:textFill>
        </w:rPr>
        <w:t>ή</w:t>
      </w:r>
      <w:r>
        <w:rPr>
          <w:rFonts w:ascii="Roboto" w:cs="Roboto" w:hAnsi="Roboto" w:eastAsia="Roboto"/>
          <w:outline w:val="0"/>
          <w:color w:val="414d57"/>
          <w:sz w:val="24"/>
          <w:szCs w:val="24"/>
          <w:u w:color="414d57"/>
          <w:rtl w:val="0"/>
          <w14:textFill>
            <w14:solidFill>
              <w14:srgbClr w14:val="414D57"/>
            </w14:solidFill>
          </w14:textFill>
        </w:rPr>
        <w:t xml:space="preserve">.6.2023. </w:t>
      </w:r>
      <w:r>
        <w:rPr>
          <w:rFonts w:ascii="Roboto" w:cs="Roboto" w:hAnsi="Roboto" w:eastAsia="Roboto"/>
          <w:outline w:val="0"/>
          <w:color w:val="414d57"/>
          <w:sz w:val="24"/>
          <w:szCs w:val="24"/>
          <w:u w:color="414d57"/>
          <w:rtl w:val="0"/>
          <w14:textFill>
            <w14:solidFill>
              <w14:srgbClr w14:val="414D57"/>
            </w14:solidFill>
          </w14:textFill>
        </w:rPr>
        <w:t>Οι αιτήσεις υποβάλλονται μέσω του διαδικτυακού τόπου του δήμου ή μέσω ηλεκτρονικού ταχυδρομείου ή μέσω ειδικής εφαρμογής του αρμόδιου δήμου ή της Κεντρικής Ένωσης Δήμων Ελλάδος</w:t>
      </w:r>
      <w:r>
        <w:rPr>
          <w:rFonts w:ascii="Roboto" w:cs="Roboto" w:hAnsi="Roboto" w:eastAsia="Roboto"/>
          <w:outline w:val="0"/>
          <w:color w:val="414d57"/>
          <w:sz w:val="24"/>
          <w:szCs w:val="24"/>
          <w:u w:color="414d57"/>
          <w:rtl w:val="0"/>
          <w14:textFill>
            <w14:solidFill>
              <w14:srgbClr w14:val="414D57"/>
            </w14:solidFill>
          </w14:textFill>
        </w:rPr>
        <w:t>.</w:t>
      </w:r>
    </w:p>
    <w:p>
      <w:pPr>
        <w:pStyle w:val="Κύριο τμήμα"/>
        <w:numPr>
          <w:ilvl w:val="0"/>
          <w:numId w:val="4"/>
        </w:numPr>
        <w:shd w:val="clear" w:color="auto" w:fill="ffffff"/>
        <w:bidi w:val="0"/>
        <w:spacing w:before="100" w:after="100" w:line="240" w:lineRule="auto"/>
        <w:ind w:right="0"/>
        <w:jc w:val="left"/>
        <w:rPr>
          <w:rFonts w:ascii="Roboto" w:cs="Roboto" w:hAnsi="Roboto" w:eastAsia="Roboto"/>
          <w:outline w:val="0"/>
          <w:color w:val="414d57"/>
          <w:sz w:val="24"/>
          <w:szCs w:val="24"/>
          <w:rtl w:val="0"/>
          <w14:textFill>
            <w14:solidFill>
              <w14:srgbClr w14:val="414D57"/>
            </w14:solidFill>
          </w14:textFill>
        </w:rPr>
      </w:pPr>
      <w:r>
        <w:rPr>
          <w:rFonts w:ascii="Roboto" w:cs="Roboto" w:hAnsi="Roboto" w:eastAsia="Roboto"/>
          <w:outline w:val="0"/>
          <w:color w:val="414d57"/>
          <w:sz w:val="24"/>
          <w:szCs w:val="24"/>
          <w:u w:color="414d57"/>
          <w:rtl w:val="0"/>
          <w14:textFill>
            <w14:solidFill>
              <w14:srgbClr w14:val="414D57"/>
            </w14:solidFill>
          </w14:textFill>
        </w:rPr>
        <w:t>Η ρύθμιση χορηγείται με απόφαση που εκδίδεται από τα αρμόδια κατά περίπτωση όργανα της παρ</w:t>
      </w:r>
      <w:r>
        <w:rPr>
          <w:rFonts w:ascii="Roboto" w:cs="Roboto" w:hAnsi="Roboto" w:eastAsia="Roboto"/>
          <w:outline w:val="0"/>
          <w:color w:val="414d57"/>
          <w:sz w:val="24"/>
          <w:szCs w:val="24"/>
          <w:u w:color="414d57"/>
          <w:rtl w:val="0"/>
          <w14:textFill>
            <w14:solidFill>
              <w14:srgbClr w14:val="414D57"/>
            </w14:solidFill>
          </w14:textFill>
        </w:rPr>
        <w:t xml:space="preserve">. 2 </w:t>
      </w:r>
      <w:r>
        <w:rPr>
          <w:rFonts w:ascii="Roboto" w:cs="Roboto" w:hAnsi="Roboto" w:eastAsia="Roboto"/>
          <w:outline w:val="0"/>
          <w:color w:val="414d57"/>
          <w:sz w:val="24"/>
          <w:szCs w:val="24"/>
          <w:u w:color="414d57"/>
          <w:rtl w:val="0"/>
          <w14:textFill>
            <w14:solidFill>
              <w14:srgbClr w14:val="414D57"/>
            </w14:solidFill>
          </w14:textFill>
        </w:rPr>
        <w:t xml:space="preserve">του άρθρου </w:t>
      </w:r>
      <w:r>
        <w:rPr>
          <w:rFonts w:ascii="Roboto" w:cs="Roboto" w:hAnsi="Roboto" w:eastAsia="Roboto"/>
          <w:outline w:val="0"/>
          <w:color w:val="414d57"/>
          <w:sz w:val="24"/>
          <w:szCs w:val="24"/>
          <w:u w:color="414d57"/>
          <w:rtl w:val="0"/>
          <w14:textFill>
            <w14:solidFill>
              <w14:srgbClr w14:val="414D57"/>
            </w14:solidFill>
          </w14:textFill>
        </w:rPr>
        <w:t xml:space="preserve">170 </w:t>
      </w:r>
      <w:r>
        <w:rPr>
          <w:rFonts w:ascii="Roboto" w:cs="Roboto" w:hAnsi="Roboto" w:eastAsia="Roboto"/>
          <w:outline w:val="0"/>
          <w:color w:val="414d57"/>
          <w:sz w:val="24"/>
          <w:szCs w:val="24"/>
          <w:u w:color="414d57"/>
          <w:rtl w:val="0"/>
          <w14:textFill>
            <w14:solidFill>
              <w14:srgbClr w14:val="414D57"/>
            </w14:solidFill>
          </w14:textFill>
        </w:rPr>
        <w:t xml:space="preserve">του Κώδικα Δήμων και Κοινοτήτων </w:t>
      </w:r>
      <w:r>
        <w:rPr>
          <w:rFonts w:ascii="Roboto" w:cs="Roboto" w:hAnsi="Roboto" w:eastAsia="Roboto"/>
          <w:outline w:val="0"/>
          <w:color w:val="414d57"/>
          <w:sz w:val="24"/>
          <w:szCs w:val="24"/>
          <w:u w:color="414d57"/>
          <w:rtl w:val="0"/>
          <w14:textFill>
            <w14:solidFill>
              <w14:srgbClr w14:val="414D57"/>
            </w14:solidFill>
          </w14:textFill>
        </w:rPr>
        <w:t>(</w:t>
      </w:r>
      <w:r>
        <w:rPr>
          <w:rFonts w:ascii="Roboto" w:cs="Roboto" w:hAnsi="Roboto" w:eastAsia="Roboto"/>
          <w:outline w:val="0"/>
          <w:color w:val="414d57"/>
          <w:sz w:val="24"/>
          <w:szCs w:val="24"/>
          <w:u w:color="414d57"/>
          <w:rtl w:val="0"/>
          <w14:textFill>
            <w14:solidFill>
              <w14:srgbClr w14:val="414D57"/>
            </w14:solidFill>
          </w14:textFill>
        </w:rPr>
        <w:t>ν</w:t>
      </w:r>
      <w:r>
        <w:rPr>
          <w:rFonts w:ascii="Roboto" w:cs="Roboto" w:hAnsi="Roboto" w:eastAsia="Roboto"/>
          <w:outline w:val="0"/>
          <w:color w:val="414d57"/>
          <w:sz w:val="24"/>
          <w:szCs w:val="24"/>
          <w:u w:color="414d57"/>
          <w:rtl w:val="0"/>
          <w14:textFill>
            <w14:solidFill>
              <w14:srgbClr w14:val="414D57"/>
            </w14:solidFill>
          </w14:textFill>
        </w:rPr>
        <w:t xml:space="preserve">. 3463/2006, </w:t>
      </w:r>
      <w:r>
        <w:rPr>
          <w:rFonts w:ascii="Roboto" w:cs="Roboto" w:hAnsi="Roboto" w:eastAsia="Roboto"/>
          <w:outline w:val="0"/>
          <w:color w:val="414d57"/>
          <w:sz w:val="24"/>
          <w:szCs w:val="24"/>
          <w:u w:color="414d57"/>
          <w:rtl w:val="1"/>
          <w14:textFill>
            <w14:solidFill>
              <w14:srgbClr w14:val="414D57"/>
            </w14:solidFill>
          </w14:textFill>
        </w:rPr>
        <w:t xml:space="preserve">Α’ </w:t>
      </w:r>
      <w:r>
        <w:rPr>
          <w:rFonts w:ascii="Roboto" w:cs="Roboto" w:hAnsi="Roboto" w:eastAsia="Roboto"/>
          <w:outline w:val="0"/>
          <w:color w:val="414d57"/>
          <w:sz w:val="24"/>
          <w:szCs w:val="24"/>
          <w:u w:color="414d57"/>
          <w:rtl w:val="0"/>
          <w14:textFill>
            <w14:solidFill>
              <w14:srgbClr w14:val="414D57"/>
            </w14:solidFill>
          </w14:textFill>
        </w:rPr>
        <w:t>114).</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obo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Εισήχθηκε το στιλ 1"/>
  </w:abstractNum>
  <w:abstractNum w:abstractNumId="1">
    <w:multiLevelType w:val="hybridMultilevel"/>
    <w:styleLink w:val="Εισήχθηκε το στιλ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Εισήχθηκε το στιλ 2"/>
  </w:abstractNum>
  <w:abstractNum w:abstractNumId="3">
    <w:multiLevelType w:val="hybridMultilevel"/>
    <w:styleLink w:val="Εισήχθηκε το στιλ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Κύριο τμήμα">
    <w:name w:val="Κύριο τμήμα"/>
    <w:next w:val="Κύριο τμήμα"/>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Εισήχθηκε το στιλ 1">
    <w:name w:val="Εισήχθηκε το στιλ 1"/>
    <w:pPr>
      <w:numPr>
        <w:numId w:val="1"/>
      </w:numPr>
    </w:pPr>
  </w:style>
  <w:style w:type="numbering" w:styleId="Εισήχθηκε το στιλ 2">
    <w:name w:val="Εισήχθηκε το στιλ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