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A45" w:rsidRPr="000555DC" w:rsidRDefault="00891100" w:rsidP="009847CF">
      <w:pPr>
        <w:jc w:val="center"/>
        <w:rPr>
          <w:rFonts w:asciiTheme="minorHAnsi" w:hAnsiTheme="minorHAnsi"/>
          <w:b/>
          <w:sz w:val="56"/>
          <w:szCs w:val="56"/>
        </w:rPr>
      </w:pPr>
      <w:r w:rsidRPr="000555DC">
        <w:rPr>
          <w:rFonts w:asciiTheme="minorHAnsi" w:hAnsiTheme="minorHAnsi"/>
          <w:b/>
          <w:sz w:val="56"/>
          <w:szCs w:val="56"/>
        </w:rPr>
        <w:t>ΕΛΑΙΟΛΑΔΟ</w:t>
      </w:r>
    </w:p>
    <w:p w:rsidR="00891100" w:rsidRPr="000555DC" w:rsidRDefault="00891100" w:rsidP="009847CF">
      <w:pPr>
        <w:jc w:val="center"/>
        <w:rPr>
          <w:rFonts w:asciiTheme="minorHAnsi" w:hAnsiTheme="minorHAnsi"/>
          <w:sz w:val="36"/>
          <w:szCs w:val="36"/>
        </w:rPr>
      </w:pPr>
      <w:r w:rsidRPr="000555DC">
        <w:rPr>
          <w:rFonts w:asciiTheme="minorHAnsi" w:hAnsiTheme="minorHAnsi"/>
          <w:sz w:val="36"/>
          <w:szCs w:val="36"/>
        </w:rPr>
        <w:t xml:space="preserve">ΕΚΘΕΣΗ ΣΤΟΙΧΕΙΩΝ ΓΙΑ ΤΗΝ ΑΓΟΡΑ ΤΗΣ ΟΛΛΑΝΔΙΑΣ </w:t>
      </w:r>
      <w:r w:rsidR="00003E12" w:rsidRPr="000555DC">
        <w:rPr>
          <w:rFonts w:asciiTheme="minorHAnsi" w:hAnsiTheme="minorHAnsi"/>
          <w:sz w:val="36"/>
          <w:szCs w:val="36"/>
        </w:rPr>
        <w:t>2015</w:t>
      </w:r>
    </w:p>
    <w:p w:rsidR="00C214AE" w:rsidRPr="000555DC" w:rsidRDefault="000555DC" w:rsidP="009847CF">
      <w:pPr>
        <w:jc w:val="center"/>
        <w:rPr>
          <w:rFonts w:asciiTheme="minorHAnsi" w:hAnsiTheme="minorHAnsi"/>
          <w:sz w:val="36"/>
          <w:szCs w:val="36"/>
        </w:rPr>
      </w:pPr>
      <w:r w:rsidRPr="000555DC">
        <w:rPr>
          <w:rFonts w:asciiTheme="minorHAnsi" w:hAnsiTheme="minorHAnsi"/>
          <w:i/>
          <w:noProof/>
          <w:sz w:val="36"/>
          <w:szCs w:val="36"/>
          <w:lang w:eastAsia="el-GR"/>
        </w:rPr>
        <w:drawing>
          <wp:inline distT="0" distB="0" distL="0" distR="0" wp14:anchorId="69730460" wp14:editId="7C7BC9F6">
            <wp:extent cx="1078903" cy="774128"/>
            <wp:effectExtent l="0" t="0" r="6985"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liniki_dimokratia_logo-small.png"/>
                    <pic:cNvPicPr/>
                  </pic:nvPicPr>
                  <pic:blipFill>
                    <a:blip r:embed="rId9">
                      <a:extLst>
                        <a:ext uri="{28A0092B-C50C-407E-A947-70E740481C1C}">
                          <a14:useLocalDpi xmlns:a14="http://schemas.microsoft.com/office/drawing/2010/main" val="0"/>
                        </a:ext>
                      </a:extLst>
                    </a:blip>
                    <a:stretch>
                      <a:fillRect/>
                    </a:stretch>
                  </pic:blipFill>
                  <pic:spPr>
                    <a:xfrm>
                      <a:off x="0" y="0"/>
                      <a:ext cx="1078903" cy="774128"/>
                    </a:xfrm>
                    <a:prstGeom prst="rect">
                      <a:avLst/>
                    </a:prstGeom>
                  </pic:spPr>
                </pic:pic>
              </a:graphicData>
            </a:graphic>
          </wp:inline>
        </w:drawing>
      </w:r>
    </w:p>
    <w:p w:rsidR="00C214AE" w:rsidRPr="000555DC" w:rsidRDefault="00C214AE" w:rsidP="00C214AE">
      <w:pPr>
        <w:jc w:val="center"/>
        <w:rPr>
          <w:rFonts w:asciiTheme="minorHAnsi" w:hAnsiTheme="minorHAnsi"/>
          <w:i/>
          <w:sz w:val="36"/>
          <w:szCs w:val="36"/>
        </w:rPr>
      </w:pPr>
      <w:r w:rsidRPr="000555DC">
        <w:rPr>
          <w:rFonts w:asciiTheme="minorHAnsi" w:hAnsiTheme="minorHAnsi"/>
          <w:i/>
          <w:sz w:val="36"/>
          <w:szCs w:val="36"/>
        </w:rPr>
        <w:t>Γρ</w:t>
      </w:r>
      <w:r w:rsidR="00827EF2" w:rsidRPr="000555DC">
        <w:rPr>
          <w:rFonts w:asciiTheme="minorHAnsi" w:hAnsiTheme="minorHAnsi"/>
          <w:i/>
          <w:sz w:val="36"/>
          <w:szCs w:val="36"/>
        </w:rPr>
        <w:t>αφείο Οικονομικών και Εμπορικών Υ</w:t>
      </w:r>
      <w:r w:rsidRPr="000555DC">
        <w:rPr>
          <w:rFonts w:asciiTheme="minorHAnsi" w:hAnsiTheme="minorHAnsi"/>
          <w:i/>
          <w:sz w:val="36"/>
          <w:szCs w:val="36"/>
        </w:rPr>
        <w:t>ποθέσεων</w:t>
      </w:r>
    </w:p>
    <w:p w:rsidR="00C214AE" w:rsidRPr="000555DC" w:rsidRDefault="00C214AE" w:rsidP="00C214AE">
      <w:pPr>
        <w:jc w:val="center"/>
        <w:rPr>
          <w:rFonts w:asciiTheme="minorHAnsi" w:hAnsiTheme="minorHAnsi"/>
          <w:i/>
          <w:sz w:val="36"/>
          <w:szCs w:val="36"/>
        </w:rPr>
      </w:pPr>
      <w:r w:rsidRPr="000555DC">
        <w:rPr>
          <w:rFonts w:asciiTheme="minorHAnsi" w:hAnsiTheme="minorHAnsi"/>
          <w:i/>
          <w:sz w:val="36"/>
          <w:szCs w:val="36"/>
        </w:rPr>
        <w:t>~</w:t>
      </w:r>
      <w:r w:rsidR="00A41DD6" w:rsidRPr="000555DC">
        <w:rPr>
          <w:rFonts w:asciiTheme="minorHAnsi" w:hAnsiTheme="minorHAnsi"/>
          <w:i/>
          <w:sz w:val="36"/>
          <w:szCs w:val="36"/>
        </w:rPr>
        <w:t xml:space="preserve"> </w:t>
      </w:r>
      <w:r w:rsidRPr="000555DC">
        <w:rPr>
          <w:rFonts w:asciiTheme="minorHAnsi" w:hAnsiTheme="minorHAnsi"/>
          <w:i/>
          <w:sz w:val="36"/>
          <w:szCs w:val="36"/>
        </w:rPr>
        <w:t>Ελληνική Πρεσβεία της Χάγης</w:t>
      </w:r>
      <w:r w:rsidR="00A41DD6" w:rsidRPr="000555DC">
        <w:rPr>
          <w:rFonts w:asciiTheme="minorHAnsi" w:hAnsiTheme="minorHAnsi"/>
          <w:i/>
          <w:sz w:val="36"/>
          <w:szCs w:val="36"/>
        </w:rPr>
        <w:t xml:space="preserve"> </w:t>
      </w:r>
      <w:r w:rsidRPr="000555DC">
        <w:rPr>
          <w:rFonts w:asciiTheme="minorHAnsi" w:hAnsiTheme="minorHAnsi"/>
          <w:i/>
          <w:sz w:val="36"/>
          <w:szCs w:val="36"/>
        </w:rPr>
        <w:t>~</w:t>
      </w:r>
    </w:p>
    <w:p w:rsidR="00C214AE" w:rsidRPr="000555DC" w:rsidRDefault="000555DC" w:rsidP="000555DC">
      <w:pPr>
        <w:jc w:val="center"/>
        <w:rPr>
          <w:rFonts w:asciiTheme="minorHAnsi" w:hAnsiTheme="minorHAnsi"/>
          <w:sz w:val="36"/>
          <w:szCs w:val="36"/>
        </w:rPr>
      </w:pPr>
      <w:r w:rsidRPr="000555DC">
        <w:rPr>
          <w:rFonts w:asciiTheme="minorHAnsi" w:hAnsiTheme="minorHAnsi"/>
          <w:sz w:val="36"/>
          <w:szCs w:val="36"/>
        </w:rPr>
        <w:t>Δεκέμβριος 2015</w:t>
      </w:r>
    </w:p>
    <w:p w:rsidR="00891100" w:rsidRPr="000555DC" w:rsidRDefault="004A3710" w:rsidP="00FE3B04">
      <w:pPr>
        <w:jc w:val="both"/>
        <w:rPr>
          <w:rFonts w:asciiTheme="minorHAnsi" w:hAnsiTheme="minorHAnsi"/>
          <w:sz w:val="36"/>
          <w:szCs w:val="36"/>
        </w:rPr>
      </w:pPr>
      <w:r w:rsidRPr="000555DC">
        <w:rPr>
          <w:rFonts w:asciiTheme="minorHAnsi" w:hAnsiTheme="minorHAnsi"/>
          <w:noProof/>
          <w:sz w:val="36"/>
          <w:szCs w:val="36"/>
          <w:lang w:eastAsia="el-GR"/>
        </w:rPr>
        <w:drawing>
          <wp:anchor distT="0" distB="0" distL="114300" distR="114300" simplePos="0" relativeHeight="251658240" behindDoc="1" locked="0" layoutInCell="1" allowOverlap="1" wp14:anchorId="33FFE292" wp14:editId="7AA3CCC8">
            <wp:simplePos x="0" y="0"/>
            <wp:positionH relativeFrom="column">
              <wp:posOffset>-476250</wp:posOffset>
            </wp:positionH>
            <wp:positionV relativeFrom="paragraph">
              <wp:posOffset>280670</wp:posOffset>
            </wp:positionV>
            <wp:extent cx="6372225" cy="4333875"/>
            <wp:effectExtent l="19050" t="0" r="9525" b="0"/>
            <wp:wrapNone/>
            <wp:docPr id="1" name="Picture 1" descr="C:\Users\Vasiliki\Desktop\Greek Embassy\Olijfolie\Ελαιόλαδο-Ελιέ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siliki\Desktop\Greek Embassy\Olijfolie\Ελαιόλαδο-Ελιές.jpg"/>
                    <pic:cNvPicPr>
                      <a:picLocks noChangeAspect="1" noChangeArrowheads="1"/>
                    </pic:cNvPicPr>
                  </pic:nvPicPr>
                  <pic:blipFill>
                    <a:blip r:embed="rId10" cstate="print"/>
                    <a:srcRect/>
                    <a:stretch>
                      <a:fillRect/>
                    </a:stretch>
                  </pic:blipFill>
                  <pic:spPr bwMode="auto">
                    <a:xfrm>
                      <a:off x="0" y="0"/>
                      <a:ext cx="6372225" cy="4333875"/>
                    </a:xfrm>
                    <a:prstGeom prst="rect">
                      <a:avLst/>
                    </a:prstGeom>
                    <a:noFill/>
                    <a:ln w="9525">
                      <a:noFill/>
                      <a:miter lim="800000"/>
                      <a:headEnd/>
                      <a:tailEnd/>
                    </a:ln>
                  </pic:spPr>
                </pic:pic>
              </a:graphicData>
            </a:graphic>
          </wp:anchor>
        </w:drawing>
      </w:r>
    </w:p>
    <w:p w:rsidR="00891100" w:rsidRPr="000555DC" w:rsidRDefault="00891100" w:rsidP="00FE3B04">
      <w:pPr>
        <w:jc w:val="both"/>
        <w:rPr>
          <w:rFonts w:asciiTheme="minorHAnsi" w:hAnsiTheme="minorHAnsi"/>
          <w:sz w:val="36"/>
          <w:szCs w:val="36"/>
        </w:rPr>
      </w:pPr>
    </w:p>
    <w:p w:rsidR="00891100" w:rsidRPr="000555DC" w:rsidRDefault="00891100" w:rsidP="00FE3B04">
      <w:pPr>
        <w:jc w:val="both"/>
        <w:rPr>
          <w:rFonts w:asciiTheme="minorHAnsi" w:hAnsiTheme="minorHAnsi"/>
          <w:sz w:val="36"/>
          <w:szCs w:val="36"/>
        </w:rPr>
      </w:pPr>
    </w:p>
    <w:p w:rsidR="00891100" w:rsidRPr="000555DC" w:rsidRDefault="00891100" w:rsidP="00FE3B04">
      <w:pPr>
        <w:jc w:val="both"/>
        <w:rPr>
          <w:rFonts w:asciiTheme="minorHAnsi" w:hAnsiTheme="minorHAnsi"/>
          <w:sz w:val="36"/>
          <w:szCs w:val="36"/>
        </w:rPr>
      </w:pPr>
    </w:p>
    <w:p w:rsidR="00891100" w:rsidRPr="000555DC" w:rsidRDefault="00891100" w:rsidP="00FE3B04">
      <w:pPr>
        <w:jc w:val="both"/>
        <w:rPr>
          <w:rFonts w:asciiTheme="minorHAnsi" w:hAnsiTheme="minorHAnsi"/>
          <w:sz w:val="36"/>
          <w:szCs w:val="36"/>
        </w:rPr>
      </w:pPr>
    </w:p>
    <w:p w:rsidR="00891100" w:rsidRPr="000555DC" w:rsidRDefault="00891100" w:rsidP="00FE3B04">
      <w:pPr>
        <w:jc w:val="both"/>
        <w:rPr>
          <w:rFonts w:asciiTheme="minorHAnsi" w:hAnsiTheme="minorHAnsi"/>
          <w:sz w:val="36"/>
          <w:szCs w:val="36"/>
        </w:rPr>
      </w:pPr>
    </w:p>
    <w:p w:rsidR="00891100" w:rsidRPr="000555DC" w:rsidRDefault="00891100" w:rsidP="00FE3B04">
      <w:pPr>
        <w:jc w:val="both"/>
        <w:rPr>
          <w:rFonts w:asciiTheme="minorHAnsi" w:hAnsiTheme="minorHAnsi"/>
          <w:sz w:val="36"/>
          <w:szCs w:val="36"/>
        </w:rPr>
      </w:pPr>
    </w:p>
    <w:p w:rsidR="00891100" w:rsidRPr="000555DC" w:rsidRDefault="00891100" w:rsidP="00FE3B04">
      <w:pPr>
        <w:jc w:val="both"/>
        <w:rPr>
          <w:rFonts w:asciiTheme="minorHAnsi" w:hAnsiTheme="minorHAnsi"/>
          <w:sz w:val="36"/>
          <w:szCs w:val="36"/>
        </w:rPr>
      </w:pPr>
    </w:p>
    <w:p w:rsidR="00891100" w:rsidRPr="000555DC" w:rsidRDefault="00891100" w:rsidP="00FE3B04">
      <w:pPr>
        <w:jc w:val="both"/>
        <w:rPr>
          <w:rFonts w:asciiTheme="minorHAnsi" w:hAnsiTheme="minorHAnsi"/>
          <w:sz w:val="36"/>
          <w:szCs w:val="36"/>
        </w:rPr>
      </w:pPr>
    </w:p>
    <w:p w:rsidR="00891100" w:rsidRPr="000555DC" w:rsidRDefault="00891100" w:rsidP="00FE3B04">
      <w:pPr>
        <w:jc w:val="both"/>
        <w:rPr>
          <w:rFonts w:asciiTheme="minorHAnsi" w:hAnsiTheme="minorHAnsi"/>
          <w:sz w:val="36"/>
          <w:szCs w:val="36"/>
        </w:rPr>
      </w:pPr>
    </w:p>
    <w:p w:rsidR="00891100" w:rsidRPr="000555DC" w:rsidRDefault="00891100" w:rsidP="00FE3B04">
      <w:pPr>
        <w:jc w:val="both"/>
        <w:rPr>
          <w:rFonts w:asciiTheme="minorHAnsi" w:hAnsiTheme="minorHAnsi"/>
          <w:sz w:val="36"/>
          <w:szCs w:val="36"/>
        </w:rPr>
      </w:pPr>
    </w:p>
    <w:p w:rsidR="000555DC" w:rsidRPr="000555DC" w:rsidRDefault="000555DC" w:rsidP="00131030">
      <w:pPr>
        <w:jc w:val="center"/>
        <w:rPr>
          <w:rFonts w:asciiTheme="minorHAnsi" w:hAnsiTheme="minorHAnsi"/>
          <w:sz w:val="36"/>
          <w:szCs w:val="36"/>
        </w:rPr>
      </w:pPr>
    </w:p>
    <w:p w:rsidR="00131030" w:rsidRPr="000555DC" w:rsidRDefault="00891100" w:rsidP="00574C09">
      <w:pPr>
        <w:rPr>
          <w:rFonts w:asciiTheme="minorHAnsi" w:hAnsiTheme="minorHAnsi"/>
          <w:sz w:val="36"/>
          <w:szCs w:val="36"/>
        </w:rPr>
      </w:pPr>
      <w:r w:rsidRPr="000555DC">
        <w:rPr>
          <w:rFonts w:asciiTheme="minorHAnsi" w:hAnsiTheme="minorHAnsi"/>
          <w:sz w:val="36"/>
          <w:szCs w:val="36"/>
        </w:rPr>
        <w:t>ΠΕΡΙΕΧΟΜΕΝΑ</w:t>
      </w:r>
    </w:p>
    <w:p w:rsidR="00131030" w:rsidRPr="000555DC" w:rsidRDefault="00131030" w:rsidP="00574C09">
      <w:pPr>
        <w:rPr>
          <w:rFonts w:asciiTheme="minorHAnsi" w:hAnsiTheme="minorHAnsi"/>
          <w:sz w:val="28"/>
          <w:szCs w:val="28"/>
        </w:rPr>
      </w:pPr>
      <w:r w:rsidRPr="000555DC">
        <w:rPr>
          <w:rFonts w:asciiTheme="minorHAnsi" w:hAnsiTheme="minorHAnsi"/>
          <w:sz w:val="28"/>
          <w:szCs w:val="28"/>
        </w:rPr>
        <w:t>Εισαγωγή………………………………………………………………</w:t>
      </w:r>
      <w:r w:rsidR="005213BD" w:rsidRPr="000555DC">
        <w:rPr>
          <w:rFonts w:asciiTheme="minorHAnsi" w:hAnsiTheme="minorHAnsi"/>
          <w:sz w:val="28"/>
          <w:szCs w:val="28"/>
        </w:rPr>
        <w:t>…3</w:t>
      </w:r>
    </w:p>
    <w:p w:rsidR="00131030" w:rsidRPr="000555DC" w:rsidRDefault="00131030" w:rsidP="00574C09">
      <w:pPr>
        <w:rPr>
          <w:rFonts w:asciiTheme="minorHAnsi" w:hAnsiTheme="minorHAnsi"/>
          <w:sz w:val="28"/>
          <w:szCs w:val="28"/>
        </w:rPr>
      </w:pPr>
      <w:r w:rsidRPr="000555DC">
        <w:rPr>
          <w:rFonts w:asciiTheme="minorHAnsi" w:hAnsiTheme="minorHAnsi"/>
          <w:sz w:val="28"/>
          <w:szCs w:val="28"/>
        </w:rPr>
        <w:t>Η χώρα της Ολλανδίας……………………………………………</w:t>
      </w:r>
      <w:r w:rsidR="005213BD" w:rsidRPr="000555DC">
        <w:rPr>
          <w:rFonts w:asciiTheme="minorHAnsi" w:hAnsiTheme="minorHAnsi"/>
          <w:sz w:val="28"/>
          <w:szCs w:val="28"/>
        </w:rPr>
        <w:t>……...3</w:t>
      </w:r>
    </w:p>
    <w:p w:rsidR="00131030" w:rsidRPr="000555DC" w:rsidRDefault="00131030" w:rsidP="00574C09">
      <w:pPr>
        <w:rPr>
          <w:rFonts w:asciiTheme="minorHAnsi" w:hAnsiTheme="minorHAnsi"/>
          <w:sz w:val="28"/>
          <w:szCs w:val="28"/>
        </w:rPr>
      </w:pPr>
      <w:r w:rsidRPr="000555DC">
        <w:rPr>
          <w:rFonts w:asciiTheme="minorHAnsi" w:hAnsiTheme="minorHAnsi"/>
          <w:sz w:val="28"/>
          <w:szCs w:val="28"/>
        </w:rPr>
        <w:t>Συσκευασίες…………………………………………………………</w:t>
      </w:r>
      <w:r w:rsidR="005213BD" w:rsidRPr="000555DC">
        <w:rPr>
          <w:rFonts w:asciiTheme="minorHAnsi" w:hAnsiTheme="minorHAnsi"/>
          <w:sz w:val="28"/>
          <w:szCs w:val="28"/>
        </w:rPr>
        <w:t>…...4</w:t>
      </w:r>
    </w:p>
    <w:p w:rsidR="00131030" w:rsidRPr="000555DC" w:rsidRDefault="00131030" w:rsidP="00574C09">
      <w:pPr>
        <w:rPr>
          <w:rFonts w:asciiTheme="minorHAnsi" w:hAnsiTheme="minorHAnsi"/>
          <w:sz w:val="28"/>
          <w:szCs w:val="28"/>
        </w:rPr>
      </w:pPr>
      <w:r w:rsidRPr="000555DC">
        <w:rPr>
          <w:rFonts w:asciiTheme="minorHAnsi" w:hAnsiTheme="minorHAnsi"/>
          <w:sz w:val="28"/>
          <w:szCs w:val="28"/>
        </w:rPr>
        <w:t>Τιμές καταναλωτή</w:t>
      </w:r>
      <w:r w:rsidR="005213BD" w:rsidRPr="000555DC">
        <w:rPr>
          <w:rFonts w:asciiTheme="minorHAnsi" w:hAnsiTheme="minorHAnsi"/>
          <w:sz w:val="28"/>
          <w:szCs w:val="28"/>
        </w:rPr>
        <w:t>………………………………………………………4</w:t>
      </w:r>
    </w:p>
    <w:p w:rsidR="00131030" w:rsidRPr="000555DC" w:rsidRDefault="00131030" w:rsidP="00574C09">
      <w:pPr>
        <w:rPr>
          <w:rFonts w:asciiTheme="minorHAnsi" w:hAnsiTheme="minorHAnsi"/>
          <w:sz w:val="28"/>
          <w:szCs w:val="28"/>
        </w:rPr>
      </w:pPr>
      <w:r w:rsidRPr="000555DC">
        <w:rPr>
          <w:rFonts w:asciiTheme="minorHAnsi" w:hAnsiTheme="minorHAnsi"/>
          <w:sz w:val="28"/>
          <w:szCs w:val="28"/>
        </w:rPr>
        <w:t>Στατιστικές για τις εισαγωγές ελαιόλαδου στην Ολλανδία</w:t>
      </w:r>
      <w:r w:rsidR="005213BD" w:rsidRPr="000555DC">
        <w:rPr>
          <w:rFonts w:asciiTheme="minorHAnsi" w:hAnsiTheme="minorHAnsi"/>
          <w:sz w:val="28"/>
          <w:szCs w:val="28"/>
        </w:rPr>
        <w:t>…………...….5</w:t>
      </w:r>
    </w:p>
    <w:p w:rsidR="00131030" w:rsidRPr="000555DC" w:rsidRDefault="005213BD" w:rsidP="00574C09">
      <w:pPr>
        <w:rPr>
          <w:rFonts w:asciiTheme="minorHAnsi" w:hAnsiTheme="minorHAnsi"/>
          <w:sz w:val="28"/>
          <w:szCs w:val="28"/>
        </w:rPr>
      </w:pPr>
      <w:r w:rsidRPr="000555DC">
        <w:rPr>
          <w:rFonts w:asciiTheme="minorHAnsi" w:hAnsiTheme="minorHAnsi"/>
          <w:sz w:val="28"/>
          <w:szCs w:val="28"/>
        </w:rPr>
        <w:t>Καταστήματα</w:t>
      </w:r>
      <w:r w:rsidR="009B0A72" w:rsidRPr="000555DC">
        <w:rPr>
          <w:rFonts w:asciiTheme="minorHAnsi" w:hAnsiTheme="minorHAnsi"/>
          <w:sz w:val="28"/>
          <w:szCs w:val="28"/>
        </w:rPr>
        <w:t xml:space="preserve"> στην Ολλανδία……………………………………………7</w:t>
      </w:r>
    </w:p>
    <w:p w:rsidR="005213BD" w:rsidRPr="000555DC" w:rsidRDefault="005213BD" w:rsidP="00574C09">
      <w:pPr>
        <w:rPr>
          <w:rFonts w:asciiTheme="minorHAnsi" w:hAnsiTheme="minorHAnsi"/>
          <w:sz w:val="28"/>
          <w:szCs w:val="28"/>
        </w:rPr>
      </w:pPr>
      <w:r w:rsidRPr="000555DC">
        <w:rPr>
          <w:rFonts w:asciiTheme="minorHAnsi" w:hAnsiTheme="minorHAnsi"/>
          <w:sz w:val="28"/>
          <w:szCs w:val="28"/>
        </w:rPr>
        <w:t>Ανταγωνιστικότητα………………………………………………………</w:t>
      </w:r>
      <w:r w:rsidR="009B0A72" w:rsidRPr="000555DC">
        <w:rPr>
          <w:rFonts w:asciiTheme="minorHAnsi" w:hAnsiTheme="minorHAnsi"/>
          <w:sz w:val="28"/>
          <w:szCs w:val="28"/>
        </w:rPr>
        <w:t>7</w:t>
      </w:r>
    </w:p>
    <w:p w:rsidR="005213BD" w:rsidRPr="000555DC" w:rsidRDefault="005213BD" w:rsidP="00574C09">
      <w:pPr>
        <w:rPr>
          <w:rFonts w:asciiTheme="minorHAnsi" w:hAnsiTheme="minorHAnsi"/>
          <w:sz w:val="28"/>
          <w:szCs w:val="28"/>
        </w:rPr>
      </w:pPr>
      <w:r w:rsidRPr="000555DC">
        <w:rPr>
          <w:rFonts w:asciiTheme="minorHAnsi" w:hAnsiTheme="minorHAnsi"/>
          <w:sz w:val="28"/>
          <w:szCs w:val="28"/>
        </w:rPr>
        <w:t>Παράρτημα……………………………………………………………….</w:t>
      </w:r>
      <w:r w:rsidR="009B0A72" w:rsidRPr="000555DC">
        <w:rPr>
          <w:rFonts w:asciiTheme="minorHAnsi" w:hAnsiTheme="minorHAnsi"/>
          <w:sz w:val="28"/>
          <w:szCs w:val="28"/>
        </w:rPr>
        <w:t>8</w:t>
      </w:r>
    </w:p>
    <w:p w:rsidR="005213BD" w:rsidRPr="000555DC" w:rsidRDefault="005213BD" w:rsidP="00574C09">
      <w:pPr>
        <w:rPr>
          <w:rFonts w:asciiTheme="minorHAnsi" w:hAnsiTheme="minorHAnsi"/>
          <w:sz w:val="28"/>
          <w:szCs w:val="28"/>
        </w:rPr>
      </w:pPr>
      <w:r w:rsidRPr="000555DC">
        <w:rPr>
          <w:rFonts w:asciiTheme="minorHAnsi" w:hAnsiTheme="minorHAnsi"/>
          <w:sz w:val="28"/>
          <w:szCs w:val="28"/>
        </w:rPr>
        <w:t>Βιβλιογραφία……………………………………………………………</w:t>
      </w:r>
      <w:r w:rsidR="009B0A72" w:rsidRPr="000555DC">
        <w:rPr>
          <w:rFonts w:asciiTheme="minorHAnsi" w:hAnsiTheme="minorHAnsi"/>
          <w:sz w:val="28"/>
          <w:szCs w:val="28"/>
        </w:rPr>
        <w:t>12</w:t>
      </w:r>
    </w:p>
    <w:p w:rsidR="00131030" w:rsidRPr="000555DC" w:rsidRDefault="00131030" w:rsidP="00131030">
      <w:pPr>
        <w:jc w:val="center"/>
        <w:rPr>
          <w:rFonts w:asciiTheme="minorHAnsi" w:hAnsiTheme="minorHAnsi"/>
          <w:sz w:val="36"/>
          <w:szCs w:val="36"/>
        </w:rPr>
      </w:pPr>
    </w:p>
    <w:p w:rsidR="00891100" w:rsidRPr="000555DC" w:rsidRDefault="00891100" w:rsidP="00FE3B04">
      <w:pPr>
        <w:jc w:val="both"/>
        <w:rPr>
          <w:rFonts w:asciiTheme="minorHAnsi" w:hAnsiTheme="minorHAnsi"/>
          <w:sz w:val="36"/>
          <w:szCs w:val="36"/>
        </w:rPr>
      </w:pPr>
    </w:p>
    <w:p w:rsidR="00891100" w:rsidRPr="000555DC" w:rsidRDefault="00891100" w:rsidP="00FE3B04">
      <w:pPr>
        <w:jc w:val="both"/>
        <w:rPr>
          <w:rFonts w:asciiTheme="minorHAnsi" w:hAnsiTheme="minorHAnsi"/>
          <w:sz w:val="36"/>
          <w:szCs w:val="36"/>
        </w:rPr>
      </w:pPr>
    </w:p>
    <w:p w:rsidR="00891100" w:rsidRPr="000555DC" w:rsidRDefault="00891100" w:rsidP="00FE3B04">
      <w:pPr>
        <w:jc w:val="both"/>
        <w:rPr>
          <w:rFonts w:asciiTheme="minorHAnsi" w:hAnsiTheme="minorHAnsi"/>
          <w:sz w:val="36"/>
          <w:szCs w:val="36"/>
        </w:rPr>
      </w:pPr>
    </w:p>
    <w:p w:rsidR="00891100" w:rsidRPr="000555DC" w:rsidRDefault="00891100" w:rsidP="00FE3B04">
      <w:pPr>
        <w:jc w:val="both"/>
        <w:rPr>
          <w:rFonts w:asciiTheme="minorHAnsi" w:hAnsiTheme="minorHAnsi"/>
          <w:sz w:val="36"/>
          <w:szCs w:val="36"/>
        </w:rPr>
      </w:pPr>
    </w:p>
    <w:p w:rsidR="00891100" w:rsidRPr="000555DC" w:rsidRDefault="00891100" w:rsidP="00FE3B04">
      <w:pPr>
        <w:jc w:val="both"/>
        <w:rPr>
          <w:rFonts w:asciiTheme="minorHAnsi" w:hAnsiTheme="minorHAnsi"/>
          <w:sz w:val="36"/>
          <w:szCs w:val="36"/>
        </w:rPr>
      </w:pPr>
    </w:p>
    <w:p w:rsidR="00891100" w:rsidRPr="000555DC" w:rsidRDefault="00891100" w:rsidP="00FE3B04">
      <w:pPr>
        <w:jc w:val="both"/>
        <w:rPr>
          <w:rFonts w:asciiTheme="minorHAnsi" w:hAnsiTheme="minorHAnsi"/>
          <w:sz w:val="36"/>
          <w:szCs w:val="36"/>
        </w:rPr>
      </w:pPr>
    </w:p>
    <w:p w:rsidR="00891100" w:rsidRPr="000555DC" w:rsidRDefault="00891100" w:rsidP="00FE3B04">
      <w:pPr>
        <w:jc w:val="both"/>
        <w:rPr>
          <w:rFonts w:asciiTheme="minorHAnsi" w:hAnsiTheme="minorHAnsi"/>
          <w:sz w:val="36"/>
          <w:szCs w:val="36"/>
        </w:rPr>
      </w:pPr>
    </w:p>
    <w:p w:rsidR="00891100" w:rsidRPr="000555DC" w:rsidRDefault="00891100" w:rsidP="00FE3B04">
      <w:pPr>
        <w:jc w:val="both"/>
        <w:rPr>
          <w:rFonts w:asciiTheme="minorHAnsi" w:hAnsiTheme="minorHAnsi"/>
          <w:sz w:val="36"/>
          <w:szCs w:val="36"/>
        </w:rPr>
      </w:pPr>
    </w:p>
    <w:p w:rsidR="005213BD" w:rsidRPr="000555DC" w:rsidRDefault="005213BD" w:rsidP="00FE3B04">
      <w:pPr>
        <w:jc w:val="both"/>
        <w:rPr>
          <w:rFonts w:asciiTheme="minorHAnsi" w:hAnsiTheme="minorHAnsi"/>
          <w:sz w:val="36"/>
          <w:szCs w:val="36"/>
        </w:rPr>
      </w:pPr>
    </w:p>
    <w:p w:rsidR="00891100" w:rsidRPr="000555DC" w:rsidRDefault="00891100" w:rsidP="00FE3B04">
      <w:pPr>
        <w:jc w:val="both"/>
        <w:rPr>
          <w:rFonts w:asciiTheme="minorHAnsi" w:hAnsiTheme="minorHAnsi"/>
          <w:sz w:val="28"/>
          <w:szCs w:val="28"/>
        </w:rPr>
      </w:pPr>
      <w:r w:rsidRPr="000555DC">
        <w:rPr>
          <w:rFonts w:asciiTheme="minorHAnsi" w:hAnsiTheme="minorHAnsi"/>
          <w:sz w:val="28"/>
          <w:szCs w:val="28"/>
        </w:rPr>
        <w:lastRenderedPageBreak/>
        <w:t>ΕΙΣΑΓΩΓΗ</w:t>
      </w:r>
    </w:p>
    <w:p w:rsidR="00462813" w:rsidRPr="000555DC" w:rsidRDefault="002E4D53" w:rsidP="00FE3B04">
      <w:pPr>
        <w:jc w:val="both"/>
        <w:rPr>
          <w:rFonts w:asciiTheme="minorHAnsi" w:hAnsiTheme="minorHAnsi"/>
          <w:szCs w:val="24"/>
        </w:rPr>
      </w:pPr>
      <w:r w:rsidRPr="000555DC">
        <w:rPr>
          <w:rFonts w:asciiTheme="minorHAnsi" w:hAnsiTheme="minorHAnsi"/>
          <w:szCs w:val="24"/>
        </w:rPr>
        <w:t xml:space="preserve">Μέχρι τις αρχές της δεκαετίας του 1990, η διατροφή των Ολλανδών </w:t>
      </w:r>
      <w:r w:rsidR="002E79CC" w:rsidRPr="000555DC">
        <w:rPr>
          <w:rFonts w:asciiTheme="minorHAnsi" w:hAnsiTheme="minorHAnsi"/>
          <w:szCs w:val="24"/>
        </w:rPr>
        <w:t>δεν περιελάμβανε ως βα</w:t>
      </w:r>
      <w:r w:rsidRPr="000555DC">
        <w:rPr>
          <w:rFonts w:asciiTheme="minorHAnsi" w:hAnsiTheme="minorHAnsi"/>
          <w:szCs w:val="24"/>
        </w:rPr>
        <w:t>σικό στοιχείο της το ελαιόλαδο, καθώς ήταν πλούσια σε φυτικά λίπη και έλαια</w:t>
      </w:r>
      <w:r w:rsidR="000555DC" w:rsidRPr="000555DC">
        <w:rPr>
          <w:rFonts w:asciiTheme="minorHAnsi" w:hAnsiTheme="minorHAnsi"/>
          <w:szCs w:val="24"/>
        </w:rPr>
        <w:t>, με</w:t>
      </w:r>
      <w:r w:rsidR="00462813" w:rsidRPr="000555DC">
        <w:rPr>
          <w:rFonts w:asciiTheme="minorHAnsi" w:hAnsiTheme="minorHAnsi"/>
          <w:szCs w:val="24"/>
        </w:rPr>
        <w:t xml:space="preserve"> συνέπεια την περιορισμένη κατανάλωση ελαιολάδου. Ωστόσο, </w:t>
      </w:r>
      <w:r w:rsidRPr="000555DC">
        <w:rPr>
          <w:rFonts w:asciiTheme="minorHAnsi" w:hAnsiTheme="minorHAnsi"/>
          <w:szCs w:val="24"/>
        </w:rPr>
        <w:t xml:space="preserve">σταδιακά, οι </w:t>
      </w:r>
      <w:r w:rsidR="002E79CC" w:rsidRPr="000555DC">
        <w:rPr>
          <w:rFonts w:asciiTheme="minorHAnsi" w:hAnsiTheme="minorHAnsi"/>
          <w:szCs w:val="24"/>
        </w:rPr>
        <w:t xml:space="preserve">καταναλωτικές συνήθειες των Ολλανδών άρχισαν </w:t>
      </w:r>
      <w:r w:rsidR="00462813" w:rsidRPr="000555DC">
        <w:rPr>
          <w:rFonts w:asciiTheme="minorHAnsi" w:hAnsiTheme="minorHAnsi"/>
          <w:szCs w:val="24"/>
        </w:rPr>
        <w:t>να αλλάζ</w:t>
      </w:r>
      <w:r w:rsidR="002E79CC" w:rsidRPr="000555DC">
        <w:rPr>
          <w:rFonts w:asciiTheme="minorHAnsi" w:hAnsiTheme="minorHAnsi"/>
          <w:szCs w:val="24"/>
        </w:rPr>
        <w:t xml:space="preserve">ουν </w:t>
      </w:r>
      <w:r w:rsidR="00462813" w:rsidRPr="000555DC">
        <w:rPr>
          <w:rFonts w:asciiTheme="minorHAnsi" w:hAnsiTheme="minorHAnsi"/>
          <w:szCs w:val="24"/>
        </w:rPr>
        <w:t>και να προσαρμόζ</w:t>
      </w:r>
      <w:r w:rsidR="002E79CC" w:rsidRPr="000555DC">
        <w:rPr>
          <w:rFonts w:asciiTheme="minorHAnsi" w:hAnsiTheme="minorHAnsi"/>
          <w:szCs w:val="24"/>
        </w:rPr>
        <w:t xml:space="preserve">ονται </w:t>
      </w:r>
      <w:r w:rsidR="00462813" w:rsidRPr="000555DC">
        <w:rPr>
          <w:rFonts w:asciiTheme="minorHAnsi" w:hAnsiTheme="minorHAnsi"/>
          <w:szCs w:val="24"/>
        </w:rPr>
        <w:t xml:space="preserve">σε ένα πιο υγιεινό πρότυπο </w:t>
      </w:r>
      <w:r w:rsidR="002E79CC" w:rsidRPr="000555DC">
        <w:rPr>
          <w:rFonts w:asciiTheme="minorHAnsi" w:hAnsiTheme="minorHAnsi"/>
          <w:szCs w:val="24"/>
        </w:rPr>
        <w:t xml:space="preserve">διατροφής. </w:t>
      </w:r>
      <w:r w:rsidR="00462813" w:rsidRPr="000555DC">
        <w:rPr>
          <w:rFonts w:asciiTheme="minorHAnsi" w:hAnsiTheme="minorHAnsi"/>
          <w:szCs w:val="24"/>
        </w:rPr>
        <w:t xml:space="preserve">Ως αποτέλεσμα, η κατανάλωση ελαιολάδου στην Ολλανδία ανήλθε από έναν (1) τόνο το 1990 σε 14,8 τόνους το 2013. </w:t>
      </w:r>
    </w:p>
    <w:p w:rsidR="000271DA" w:rsidRPr="000555DC" w:rsidRDefault="00834FC4" w:rsidP="00FE3B04">
      <w:pPr>
        <w:jc w:val="both"/>
        <w:rPr>
          <w:rFonts w:asciiTheme="minorHAnsi" w:hAnsiTheme="minorHAnsi"/>
          <w:szCs w:val="24"/>
        </w:rPr>
      </w:pPr>
      <w:r w:rsidRPr="000555DC">
        <w:rPr>
          <w:rFonts w:asciiTheme="minorHAnsi" w:hAnsiTheme="minorHAnsi"/>
          <w:szCs w:val="24"/>
        </w:rPr>
        <w:t>Το μεγαλύτερο μερίδιο αγοράς συσκευασμένου ελαιόλαδου (ιδιωτικής και μη ετικέτας) στις ολλανδικές υπεραγορέ</w:t>
      </w:r>
      <w:r w:rsidR="009D0644" w:rsidRPr="000555DC">
        <w:rPr>
          <w:rFonts w:asciiTheme="minorHAnsi" w:hAnsiTheme="minorHAnsi"/>
          <w:szCs w:val="24"/>
        </w:rPr>
        <w:t xml:space="preserve">ς κατέχει η Ισπανία. Ενδεικτικά, </w:t>
      </w:r>
      <w:r w:rsidRPr="000555DC">
        <w:rPr>
          <w:rFonts w:asciiTheme="minorHAnsi" w:hAnsiTheme="minorHAnsi"/>
          <w:szCs w:val="24"/>
        </w:rPr>
        <w:t xml:space="preserve">στις μεγαλύτερες υπεραγορές, όπως </w:t>
      </w:r>
      <w:r w:rsidR="009D0644" w:rsidRPr="000555DC">
        <w:rPr>
          <w:rFonts w:asciiTheme="minorHAnsi" w:hAnsiTheme="minorHAnsi"/>
          <w:szCs w:val="24"/>
        </w:rPr>
        <w:t xml:space="preserve">ο </w:t>
      </w:r>
      <w:r w:rsidR="00854BCB" w:rsidRPr="000555DC">
        <w:rPr>
          <w:rFonts w:asciiTheme="minorHAnsi" w:hAnsiTheme="minorHAnsi"/>
          <w:szCs w:val="24"/>
          <w:lang w:val="en-US"/>
        </w:rPr>
        <w:t>Albert</w:t>
      </w:r>
      <w:r w:rsidR="00854BCB" w:rsidRPr="000555DC">
        <w:rPr>
          <w:rFonts w:asciiTheme="minorHAnsi" w:hAnsiTheme="minorHAnsi"/>
          <w:szCs w:val="24"/>
        </w:rPr>
        <w:t xml:space="preserve"> </w:t>
      </w:r>
      <w:proofErr w:type="spellStart"/>
      <w:r w:rsidR="00854BCB" w:rsidRPr="000555DC">
        <w:rPr>
          <w:rFonts w:asciiTheme="minorHAnsi" w:hAnsiTheme="minorHAnsi"/>
          <w:szCs w:val="24"/>
          <w:lang w:val="en-US"/>
        </w:rPr>
        <w:t>Heijn</w:t>
      </w:r>
      <w:proofErr w:type="spellEnd"/>
      <w:r w:rsidR="00854BCB" w:rsidRPr="000555DC">
        <w:rPr>
          <w:rFonts w:asciiTheme="minorHAnsi" w:hAnsiTheme="minorHAnsi"/>
          <w:szCs w:val="24"/>
        </w:rPr>
        <w:t xml:space="preserve"> και </w:t>
      </w:r>
      <w:r w:rsidR="009D0644" w:rsidRPr="000555DC">
        <w:rPr>
          <w:rFonts w:asciiTheme="minorHAnsi" w:hAnsiTheme="minorHAnsi"/>
          <w:szCs w:val="24"/>
        </w:rPr>
        <w:t xml:space="preserve">ο </w:t>
      </w:r>
      <w:r w:rsidR="00854BCB" w:rsidRPr="000555DC">
        <w:rPr>
          <w:rFonts w:asciiTheme="minorHAnsi" w:hAnsiTheme="minorHAnsi"/>
          <w:szCs w:val="24"/>
          <w:lang w:val="en-US"/>
        </w:rPr>
        <w:t>Dirk</w:t>
      </w:r>
      <w:r w:rsidR="00854BCB" w:rsidRPr="000555DC">
        <w:rPr>
          <w:rFonts w:asciiTheme="minorHAnsi" w:hAnsiTheme="minorHAnsi"/>
          <w:szCs w:val="24"/>
        </w:rPr>
        <w:t xml:space="preserve"> </w:t>
      </w:r>
      <w:r w:rsidR="00854BCB" w:rsidRPr="000555DC">
        <w:rPr>
          <w:rFonts w:asciiTheme="minorHAnsi" w:hAnsiTheme="minorHAnsi"/>
          <w:szCs w:val="24"/>
          <w:lang w:val="en-US"/>
        </w:rPr>
        <w:t>van</w:t>
      </w:r>
      <w:r w:rsidR="00854BCB" w:rsidRPr="000555DC">
        <w:rPr>
          <w:rFonts w:asciiTheme="minorHAnsi" w:hAnsiTheme="minorHAnsi"/>
          <w:szCs w:val="24"/>
        </w:rPr>
        <w:t xml:space="preserve"> </w:t>
      </w:r>
      <w:r w:rsidR="00854BCB" w:rsidRPr="000555DC">
        <w:rPr>
          <w:rFonts w:asciiTheme="minorHAnsi" w:hAnsiTheme="minorHAnsi"/>
          <w:szCs w:val="24"/>
          <w:lang w:val="en-US"/>
        </w:rPr>
        <w:t>de</w:t>
      </w:r>
      <w:r w:rsidR="00854BCB" w:rsidRPr="000555DC">
        <w:rPr>
          <w:rFonts w:asciiTheme="minorHAnsi" w:hAnsiTheme="minorHAnsi"/>
          <w:szCs w:val="24"/>
        </w:rPr>
        <w:t xml:space="preserve"> </w:t>
      </w:r>
      <w:proofErr w:type="spellStart"/>
      <w:r w:rsidR="00854BCB" w:rsidRPr="000555DC">
        <w:rPr>
          <w:rFonts w:asciiTheme="minorHAnsi" w:hAnsiTheme="minorHAnsi"/>
          <w:szCs w:val="24"/>
          <w:lang w:val="en-US"/>
        </w:rPr>
        <w:t>Broek</w:t>
      </w:r>
      <w:proofErr w:type="spellEnd"/>
      <w:r w:rsidR="00854BCB" w:rsidRPr="000555DC">
        <w:rPr>
          <w:rFonts w:asciiTheme="minorHAnsi" w:hAnsiTheme="minorHAnsi"/>
          <w:szCs w:val="24"/>
        </w:rPr>
        <w:t>, τα ελαιόλαδα με την επωνυμία των</w:t>
      </w:r>
      <w:r w:rsidRPr="000555DC">
        <w:rPr>
          <w:rFonts w:asciiTheme="minorHAnsi" w:hAnsiTheme="minorHAnsi"/>
          <w:szCs w:val="24"/>
        </w:rPr>
        <w:t xml:space="preserve"> υπεραγορών (ιδιωτικής ετικέτας) </w:t>
      </w:r>
      <w:r w:rsidR="00BB5A2C" w:rsidRPr="000555DC">
        <w:rPr>
          <w:rFonts w:asciiTheme="minorHAnsi" w:hAnsiTheme="minorHAnsi"/>
          <w:szCs w:val="24"/>
        </w:rPr>
        <w:t>προέρχονται από την Ισπανία</w:t>
      </w:r>
      <w:r w:rsidRPr="000555DC">
        <w:rPr>
          <w:rFonts w:asciiTheme="minorHAnsi" w:hAnsiTheme="minorHAnsi"/>
          <w:szCs w:val="24"/>
        </w:rPr>
        <w:t>, ενώ ακολουθούν επώνυμα ελαιόλαδα</w:t>
      </w:r>
      <w:r w:rsidR="009D0644" w:rsidRPr="000555DC">
        <w:rPr>
          <w:rFonts w:asciiTheme="minorHAnsi" w:hAnsiTheme="minorHAnsi"/>
          <w:szCs w:val="24"/>
        </w:rPr>
        <w:t>,</w:t>
      </w:r>
      <w:r w:rsidRPr="000555DC">
        <w:rPr>
          <w:rFonts w:asciiTheme="minorHAnsi" w:hAnsiTheme="minorHAnsi"/>
          <w:szCs w:val="24"/>
        </w:rPr>
        <w:t xml:space="preserve"> όπως το </w:t>
      </w:r>
      <w:proofErr w:type="spellStart"/>
      <w:r w:rsidR="00BB5A2C" w:rsidRPr="000555DC">
        <w:rPr>
          <w:rFonts w:asciiTheme="minorHAnsi" w:hAnsiTheme="minorHAnsi"/>
          <w:szCs w:val="24"/>
          <w:lang w:val="en-US"/>
        </w:rPr>
        <w:t>Bertolli</w:t>
      </w:r>
      <w:proofErr w:type="spellEnd"/>
      <w:r w:rsidR="00BB5A2C" w:rsidRPr="000555DC">
        <w:rPr>
          <w:rFonts w:asciiTheme="minorHAnsi" w:hAnsiTheme="minorHAnsi"/>
          <w:szCs w:val="24"/>
        </w:rPr>
        <w:t xml:space="preserve"> (</w:t>
      </w:r>
      <w:proofErr w:type="spellStart"/>
      <w:r w:rsidR="00BB5A2C" w:rsidRPr="000555DC">
        <w:rPr>
          <w:rFonts w:asciiTheme="minorHAnsi" w:hAnsiTheme="minorHAnsi"/>
          <w:szCs w:val="24"/>
          <w:lang w:val="en-US"/>
        </w:rPr>
        <w:t>Uniliver</w:t>
      </w:r>
      <w:proofErr w:type="spellEnd"/>
      <w:r w:rsidR="00BB5A2C" w:rsidRPr="000555DC">
        <w:rPr>
          <w:rFonts w:asciiTheme="minorHAnsi" w:hAnsiTheme="minorHAnsi"/>
          <w:szCs w:val="24"/>
        </w:rPr>
        <w:t xml:space="preserve">) </w:t>
      </w:r>
      <w:r w:rsidRPr="000555DC">
        <w:rPr>
          <w:rFonts w:asciiTheme="minorHAnsi" w:hAnsiTheme="minorHAnsi"/>
          <w:szCs w:val="24"/>
        </w:rPr>
        <w:t xml:space="preserve">από την Ιταλία και το </w:t>
      </w:r>
      <w:proofErr w:type="spellStart"/>
      <w:r w:rsidRPr="000555DC">
        <w:rPr>
          <w:rFonts w:asciiTheme="minorHAnsi" w:hAnsiTheme="minorHAnsi"/>
          <w:szCs w:val="24"/>
          <w:lang w:val="en-US"/>
        </w:rPr>
        <w:t>Carbonell</w:t>
      </w:r>
      <w:proofErr w:type="spellEnd"/>
      <w:r w:rsidRPr="000555DC">
        <w:rPr>
          <w:rFonts w:asciiTheme="minorHAnsi" w:hAnsiTheme="minorHAnsi"/>
          <w:szCs w:val="24"/>
        </w:rPr>
        <w:t xml:space="preserve"> από την Ισπανία. </w:t>
      </w:r>
    </w:p>
    <w:p w:rsidR="00FD7295" w:rsidRPr="000555DC" w:rsidRDefault="00FD7295" w:rsidP="00FE3B04">
      <w:pPr>
        <w:jc w:val="both"/>
        <w:rPr>
          <w:rFonts w:asciiTheme="minorHAnsi" w:hAnsiTheme="minorHAnsi"/>
          <w:szCs w:val="24"/>
        </w:rPr>
      </w:pPr>
      <w:r w:rsidRPr="000555DC">
        <w:rPr>
          <w:rFonts w:asciiTheme="minorHAnsi" w:hAnsiTheme="minorHAnsi"/>
          <w:szCs w:val="24"/>
        </w:rPr>
        <w:t>Η ΧΩΡΑ ΤΗΣ ΟΛΛΑΝΔΙΑΣ</w:t>
      </w:r>
    </w:p>
    <w:p w:rsidR="00BB5A2C" w:rsidRPr="000555DC" w:rsidRDefault="00FD7295" w:rsidP="00FE3B04">
      <w:pPr>
        <w:jc w:val="both"/>
        <w:rPr>
          <w:rFonts w:asciiTheme="minorHAnsi" w:hAnsiTheme="minorHAnsi"/>
          <w:szCs w:val="24"/>
        </w:rPr>
      </w:pPr>
      <w:r w:rsidRPr="000555DC">
        <w:rPr>
          <w:rFonts w:asciiTheme="minorHAnsi" w:hAnsiTheme="minorHAnsi"/>
          <w:szCs w:val="24"/>
        </w:rPr>
        <w:t>Οι εισαγωγές και οι ε</w:t>
      </w:r>
      <w:r w:rsidR="000271DA" w:rsidRPr="000555DC">
        <w:rPr>
          <w:rFonts w:asciiTheme="minorHAnsi" w:hAnsiTheme="minorHAnsi"/>
          <w:szCs w:val="24"/>
        </w:rPr>
        <w:t xml:space="preserve">ξαγωγές στην Ολλανδία στα φυτικά λάδια και λίπη κατέχουνε σημαντική θέση στην αγορά και φτάνουνε τα 2.547.804 (σε 1.000 ευρώ) σε αξία εισαγωγών. Πιο συγκεκριμένα, το ποσοστό εισαγωγής ελαιόλαδου καταλαμβάνει το 0,8-0,1% της παραπάνω αξίας. Από αυτό παρατηρούμε ότι η εισαγωγή ελαιόλαδου αποτελεί ένα σημαντικό κομμάτι της αγοράς της Ολλανδίας. </w:t>
      </w:r>
    </w:p>
    <w:p w:rsidR="00B92357" w:rsidRPr="000555DC" w:rsidRDefault="00332969" w:rsidP="00FE3B04">
      <w:pPr>
        <w:jc w:val="both"/>
        <w:rPr>
          <w:rFonts w:asciiTheme="minorHAnsi" w:hAnsiTheme="minorHAnsi"/>
          <w:szCs w:val="24"/>
        </w:rPr>
      </w:pPr>
      <w:r w:rsidRPr="000555DC">
        <w:rPr>
          <w:rFonts w:asciiTheme="minorHAnsi" w:hAnsiTheme="minorHAnsi"/>
          <w:szCs w:val="24"/>
        </w:rPr>
        <w:t xml:space="preserve">Όπως φαίνονται και στα στατιστικά στοιχεία του Πίνακα </w:t>
      </w:r>
      <w:r w:rsidR="00137CED" w:rsidRPr="000555DC">
        <w:rPr>
          <w:rFonts w:asciiTheme="minorHAnsi" w:hAnsiTheme="minorHAnsi"/>
          <w:szCs w:val="24"/>
        </w:rPr>
        <w:t xml:space="preserve">2 και 3 </w:t>
      </w:r>
      <w:r w:rsidRPr="000555DC">
        <w:rPr>
          <w:rFonts w:asciiTheme="minorHAnsi" w:hAnsiTheme="minorHAnsi"/>
          <w:szCs w:val="24"/>
        </w:rPr>
        <w:t>στο Παράρτημα</w:t>
      </w:r>
      <w:r w:rsidR="00137CED" w:rsidRPr="000555DC">
        <w:rPr>
          <w:rFonts w:asciiTheme="minorHAnsi" w:hAnsiTheme="minorHAnsi"/>
          <w:szCs w:val="24"/>
        </w:rPr>
        <w:t xml:space="preserve"> η κατανάλωση του ελαιόλαδου των Ολλανδών έχει αυξηθεί σημαντικά με αποκορύφωμα το 2009 και μετά ακο</w:t>
      </w:r>
      <w:r w:rsidR="000555DC" w:rsidRPr="000555DC">
        <w:rPr>
          <w:rFonts w:asciiTheme="minorHAnsi" w:hAnsiTheme="minorHAnsi"/>
          <w:szCs w:val="24"/>
        </w:rPr>
        <w:t>λ</w:t>
      </w:r>
      <w:r w:rsidR="00137CED" w:rsidRPr="000555DC">
        <w:rPr>
          <w:rFonts w:asciiTheme="minorHAnsi" w:hAnsiTheme="minorHAnsi"/>
          <w:szCs w:val="24"/>
        </w:rPr>
        <w:t xml:space="preserve">ουθώντας μια σταθερή πορεία. </w:t>
      </w:r>
    </w:p>
    <w:p w:rsidR="00137CED" w:rsidRPr="000555DC" w:rsidRDefault="00137CED" w:rsidP="00FE3B04">
      <w:pPr>
        <w:jc w:val="both"/>
        <w:rPr>
          <w:rFonts w:asciiTheme="minorHAnsi" w:hAnsiTheme="minorHAnsi"/>
          <w:szCs w:val="24"/>
        </w:rPr>
      </w:pPr>
      <w:r w:rsidRPr="000555DC">
        <w:rPr>
          <w:rFonts w:asciiTheme="minorHAnsi" w:hAnsiTheme="minorHAnsi"/>
          <w:szCs w:val="24"/>
        </w:rPr>
        <w:t xml:space="preserve">Οι εισαγωγές ελαιόλαδου </w:t>
      </w:r>
      <w:r w:rsidR="00B22A44" w:rsidRPr="000555DC">
        <w:rPr>
          <w:rFonts w:asciiTheme="minorHAnsi" w:hAnsiTheme="minorHAnsi"/>
          <w:szCs w:val="24"/>
        </w:rPr>
        <w:t>είναι επίσης αυξητικές και ακολουθούνε παράλληλη πορεία με τις καταναλωτικές συνήθειες της Ολλανδίας στο ελαιόλαδο (</w:t>
      </w:r>
      <w:r w:rsidR="000555DC">
        <w:rPr>
          <w:rFonts w:asciiTheme="minorHAnsi" w:hAnsiTheme="minorHAnsi"/>
          <w:szCs w:val="24"/>
        </w:rPr>
        <w:t>π</w:t>
      </w:r>
      <w:r w:rsidR="00B22A44" w:rsidRPr="000555DC">
        <w:rPr>
          <w:rFonts w:asciiTheme="minorHAnsi" w:hAnsiTheme="minorHAnsi"/>
          <w:szCs w:val="24"/>
        </w:rPr>
        <w:t>ίνακες 2, 3, 4)</w:t>
      </w:r>
      <w:r w:rsidR="000555DC">
        <w:rPr>
          <w:rFonts w:asciiTheme="minorHAnsi" w:hAnsiTheme="minorHAnsi"/>
          <w:szCs w:val="24"/>
        </w:rPr>
        <w:t>.</w:t>
      </w:r>
    </w:p>
    <w:p w:rsidR="00B22A44" w:rsidRPr="000555DC" w:rsidRDefault="00A7305C" w:rsidP="00FE3B04">
      <w:pPr>
        <w:jc w:val="both"/>
        <w:rPr>
          <w:rFonts w:asciiTheme="minorHAnsi" w:hAnsiTheme="minorHAnsi"/>
          <w:szCs w:val="24"/>
        </w:rPr>
      </w:pPr>
      <w:r w:rsidRPr="000555DC">
        <w:rPr>
          <w:rFonts w:asciiTheme="minorHAnsi" w:hAnsiTheme="minorHAnsi"/>
          <w:szCs w:val="24"/>
        </w:rPr>
        <w:t>ΕΙΔΗ ΕΛΑΙΟΛΑΔΟΥ</w:t>
      </w:r>
    </w:p>
    <w:p w:rsidR="00A7305C" w:rsidRPr="000555DC" w:rsidRDefault="00A7305C" w:rsidP="00FE3B04">
      <w:pPr>
        <w:jc w:val="both"/>
        <w:rPr>
          <w:rFonts w:asciiTheme="minorHAnsi" w:hAnsiTheme="minorHAnsi"/>
          <w:szCs w:val="24"/>
        </w:rPr>
      </w:pPr>
      <w:r w:rsidRPr="000555DC">
        <w:rPr>
          <w:rFonts w:asciiTheme="minorHAnsi" w:hAnsiTheme="minorHAnsi"/>
          <w:szCs w:val="24"/>
        </w:rPr>
        <w:t xml:space="preserve">Το συσκευασμένο ελαιόλαδο, που πωλείται στις ολλανδικές υπεραγορές διακρίνεται σε τρεις κατηγορίες: </w:t>
      </w:r>
    </w:p>
    <w:p w:rsidR="00A7305C" w:rsidRPr="000555DC" w:rsidRDefault="00A7305C" w:rsidP="0093457B">
      <w:pPr>
        <w:pStyle w:val="ListParagraph"/>
        <w:numPr>
          <w:ilvl w:val="0"/>
          <w:numId w:val="3"/>
        </w:numPr>
        <w:jc w:val="both"/>
        <w:rPr>
          <w:rFonts w:asciiTheme="minorHAnsi" w:hAnsiTheme="minorHAnsi"/>
          <w:szCs w:val="24"/>
        </w:rPr>
      </w:pPr>
      <w:r w:rsidRPr="000555DC">
        <w:rPr>
          <w:rFonts w:asciiTheme="minorHAnsi" w:hAnsiTheme="minorHAnsi"/>
          <w:szCs w:val="24"/>
        </w:rPr>
        <w:t>Εξαιρετικά παρθένο ελαιόλαδο (</w:t>
      </w:r>
      <w:r w:rsidRPr="000555DC">
        <w:rPr>
          <w:rFonts w:asciiTheme="minorHAnsi" w:hAnsiTheme="minorHAnsi"/>
          <w:szCs w:val="24"/>
          <w:lang w:val="en-US"/>
        </w:rPr>
        <w:t>extra</w:t>
      </w:r>
      <w:r w:rsidRPr="000555DC">
        <w:rPr>
          <w:rFonts w:asciiTheme="minorHAnsi" w:hAnsiTheme="minorHAnsi"/>
          <w:szCs w:val="24"/>
        </w:rPr>
        <w:t xml:space="preserve"> </w:t>
      </w:r>
      <w:proofErr w:type="spellStart"/>
      <w:r w:rsidRPr="000555DC">
        <w:rPr>
          <w:rFonts w:asciiTheme="minorHAnsi" w:hAnsiTheme="minorHAnsi"/>
          <w:szCs w:val="24"/>
          <w:lang w:val="en-US"/>
        </w:rPr>
        <w:t>vierge</w:t>
      </w:r>
      <w:proofErr w:type="spellEnd"/>
      <w:r w:rsidRPr="000555DC">
        <w:rPr>
          <w:rFonts w:asciiTheme="minorHAnsi" w:hAnsiTheme="minorHAnsi"/>
          <w:szCs w:val="24"/>
        </w:rPr>
        <w:t xml:space="preserve"> </w:t>
      </w:r>
      <w:proofErr w:type="spellStart"/>
      <w:r w:rsidRPr="000555DC">
        <w:rPr>
          <w:rFonts w:asciiTheme="minorHAnsi" w:hAnsiTheme="minorHAnsi"/>
          <w:szCs w:val="24"/>
          <w:lang w:val="en-US"/>
        </w:rPr>
        <w:t>olijfolie</w:t>
      </w:r>
      <w:proofErr w:type="spellEnd"/>
      <w:r w:rsidRPr="000555DC">
        <w:rPr>
          <w:rFonts w:asciiTheme="minorHAnsi" w:hAnsiTheme="minorHAnsi"/>
          <w:szCs w:val="24"/>
        </w:rPr>
        <w:t xml:space="preserve">) με οξύτητα &lt; 0,9 </w:t>
      </w:r>
      <w:r w:rsidR="00AF2461" w:rsidRPr="000555DC">
        <w:rPr>
          <w:rFonts w:asciiTheme="minorHAnsi" w:hAnsiTheme="minorHAnsi"/>
          <w:szCs w:val="24"/>
        </w:rPr>
        <w:t xml:space="preserve">βαθμούς. </w:t>
      </w:r>
    </w:p>
    <w:p w:rsidR="00A7305C" w:rsidRPr="000555DC" w:rsidRDefault="00A7305C" w:rsidP="0093457B">
      <w:pPr>
        <w:pStyle w:val="ListParagraph"/>
        <w:numPr>
          <w:ilvl w:val="0"/>
          <w:numId w:val="3"/>
        </w:numPr>
        <w:jc w:val="both"/>
        <w:rPr>
          <w:rFonts w:asciiTheme="minorHAnsi" w:hAnsiTheme="minorHAnsi"/>
          <w:szCs w:val="24"/>
        </w:rPr>
      </w:pPr>
      <w:r w:rsidRPr="000555DC">
        <w:rPr>
          <w:rFonts w:asciiTheme="minorHAnsi" w:hAnsiTheme="minorHAnsi"/>
          <w:szCs w:val="24"/>
        </w:rPr>
        <w:t xml:space="preserve">Παρθένο (απαλό) ελαιόλαδο </w:t>
      </w:r>
      <w:r w:rsidR="00AF2461" w:rsidRPr="000555DC">
        <w:rPr>
          <w:rFonts w:asciiTheme="minorHAnsi" w:hAnsiTheme="minorHAnsi"/>
          <w:szCs w:val="24"/>
        </w:rPr>
        <w:t>(</w:t>
      </w:r>
      <w:r w:rsidR="00AF2461" w:rsidRPr="000555DC">
        <w:rPr>
          <w:rFonts w:asciiTheme="minorHAnsi" w:hAnsiTheme="minorHAnsi"/>
          <w:szCs w:val="24"/>
          <w:lang w:val="en-US"/>
        </w:rPr>
        <w:t>mild</w:t>
      </w:r>
      <w:r w:rsidR="00AF2461" w:rsidRPr="000555DC">
        <w:rPr>
          <w:rFonts w:asciiTheme="minorHAnsi" w:hAnsiTheme="minorHAnsi"/>
          <w:szCs w:val="24"/>
        </w:rPr>
        <w:t>/</w:t>
      </w:r>
      <w:proofErr w:type="spellStart"/>
      <w:r w:rsidR="00AF2461" w:rsidRPr="000555DC">
        <w:rPr>
          <w:rFonts w:asciiTheme="minorHAnsi" w:hAnsiTheme="minorHAnsi"/>
          <w:szCs w:val="24"/>
          <w:lang w:val="en-US"/>
        </w:rPr>
        <w:t>vierge</w:t>
      </w:r>
      <w:proofErr w:type="spellEnd"/>
      <w:r w:rsidR="00AF2461" w:rsidRPr="000555DC">
        <w:rPr>
          <w:rFonts w:asciiTheme="minorHAnsi" w:hAnsiTheme="minorHAnsi"/>
          <w:szCs w:val="24"/>
        </w:rPr>
        <w:t xml:space="preserve"> </w:t>
      </w:r>
      <w:proofErr w:type="spellStart"/>
      <w:r w:rsidR="00AF2461" w:rsidRPr="000555DC">
        <w:rPr>
          <w:rFonts w:asciiTheme="minorHAnsi" w:hAnsiTheme="minorHAnsi"/>
          <w:szCs w:val="24"/>
          <w:lang w:val="en-US"/>
        </w:rPr>
        <w:t>olijfolie</w:t>
      </w:r>
      <w:proofErr w:type="spellEnd"/>
      <w:r w:rsidR="00AF2461" w:rsidRPr="000555DC">
        <w:rPr>
          <w:rFonts w:asciiTheme="minorHAnsi" w:hAnsiTheme="minorHAnsi"/>
          <w:szCs w:val="24"/>
        </w:rPr>
        <w:t xml:space="preserve">) με οξύτητα από 1 – 2 βαθμούς. </w:t>
      </w:r>
    </w:p>
    <w:p w:rsidR="0093457B" w:rsidRPr="000555DC" w:rsidRDefault="0093457B" w:rsidP="00FE3B04">
      <w:pPr>
        <w:pStyle w:val="ListParagraph"/>
        <w:numPr>
          <w:ilvl w:val="0"/>
          <w:numId w:val="3"/>
        </w:numPr>
        <w:jc w:val="both"/>
        <w:rPr>
          <w:rFonts w:asciiTheme="minorHAnsi" w:hAnsiTheme="minorHAnsi"/>
          <w:szCs w:val="24"/>
        </w:rPr>
      </w:pPr>
      <w:r w:rsidRPr="000555DC">
        <w:rPr>
          <w:rFonts w:asciiTheme="minorHAnsi" w:hAnsiTheme="minorHAnsi"/>
          <w:szCs w:val="24"/>
        </w:rPr>
        <w:t>Ελαιόλαδο (</w:t>
      </w:r>
      <w:proofErr w:type="spellStart"/>
      <w:r w:rsidRPr="000555DC">
        <w:rPr>
          <w:rFonts w:asciiTheme="minorHAnsi" w:hAnsiTheme="minorHAnsi"/>
          <w:szCs w:val="24"/>
          <w:lang w:val="en-US"/>
        </w:rPr>
        <w:t>olijfolie</w:t>
      </w:r>
      <w:proofErr w:type="spellEnd"/>
      <w:r w:rsidRPr="000555DC">
        <w:rPr>
          <w:rFonts w:asciiTheme="minorHAnsi" w:hAnsiTheme="minorHAnsi"/>
          <w:szCs w:val="24"/>
        </w:rPr>
        <w:t xml:space="preserve">) με οξύτητα &gt; 2 βαθμούς. </w:t>
      </w:r>
    </w:p>
    <w:p w:rsidR="000555DC" w:rsidRDefault="000555DC" w:rsidP="00FE3B04">
      <w:pPr>
        <w:jc w:val="both"/>
        <w:rPr>
          <w:rFonts w:asciiTheme="minorHAnsi" w:hAnsiTheme="minorHAnsi"/>
          <w:szCs w:val="24"/>
        </w:rPr>
      </w:pPr>
    </w:p>
    <w:p w:rsidR="00A7305C" w:rsidRPr="000555DC" w:rsidRDefault="0093457B" w:rsidP="00FE3B04">
      <w:pPr>
        <w:jc w:val="both"/>
        <w:rPr>
          <w:rFonts w:asciiTheme="minorHAnsi" w:hAnsiTheme="minorHAnsi"/>
          <w:szCs w:val="24"/>
        </w:rPr>
      </w:pPr>
      <w:r w:rsidRPr="000555DC">
        <w:rPr>
          <w:rFonts w:asciiTheme="minorHAnsi" w:hAnsiTheme="minorHAnsi"/>
          <w:szCs w:val="24"/>
        </w:rPr>
        <w:lastRenderedPageBreak/>
        <w:t>ΣΥΣΚΕΥΑΣΙΑ</w:t>
      </w:r>
    </w:p>
    <w:p w:rsidR="0093457B" w:rsidRPr="000555DC" w:rsidRDefault="0093457B" w:rsidP="00FE3B04">
      <w:pPr>
        <w:jc w:val="both"/>
        <w:rPr>
          <w:rFonts w:asciiTheme="minorHAnsi" w:hAnsiTheme="minorHAnsi"/>
          <w:szCs w:val="24"/>
        </w:rPr>
      </w:pPr>
      <w:r w:rsidRPr="000555DC">
        <w:rPr>
          <w:rFonts w:asciiTheme="minorHAnsi" w:hAnsiTheme="minorHAnsi"/>
          <w:szCs w:val="24"/>
        </w:rPr>
        <w:t xml:space="preserve">Οι πλέον διαδεδομένες συσκευασίες είναι το γυάλινο μπουκάλι του ενός (1) </w:t>
      </w:r>
      <w:r w:rsidR="000555DC" w:rsidRPr="000555DC">
        <w:rPr>
          <w:rFonts w:asciiTheme="minorHAnsi" w:hAnsiTheme="minorHAnsi"/>
          <w:szCs w:val="24"/>
        </w:rPr>
        <w:t>λίτρου</w:t>
      </w:r>
      <w:r w:rsidRPr="000555DC">
        <w:rPr>
          <w:rFonts w:asciiTheme="minorHAnsi" w:hAnsiTheme="minorHAnsi"/>
          <w:szCs w:val="24"/>
        </w:rPr>
        <w:t xml:space="preserve">, των 500 </w:t>
      </w:r>
      <w:r w:rsidRPr="000555DC">
        <w:rPr>
          <w:rFonts w:asciiTheme="minorHAnsi" w:hAnsiTheme="minorHAnsi"/>
          <w:szCs w:val="24"/>
          <w:lang w:val="en-US"/>
        </w:rPr>
        <w:t>ml</w:t>
      </w:r>
      <w:r w:rsidRPr="000555DC">
        <w:rPr>
          <w:rFonts w:asciiTheme="minorHAnsi" w:hAnsiTheme="minorHAnsi"/>
          <w:szCs w:val="24"/>
        </w:rPr>
        <w:t xml:space="preserve"> και των 250 </w:t>
      </w:r>
      <w:r w:rsidRPr="000555DC">
        <w:rPr>
          <w:rFonts w:asciiTheme="minorHAnsi" w:hAnsiTheme="minorHAnsi"/>
          <w:szCs w:val="24"/>
          <w:lang w:val="en-US"/>
        </w:rPr>
        <w:t>ml</w:t>
      </w:r>
      <w:r w:rsidRPr="000555DC">
        <w:rPr>
          <w:rFonts w:asciiTheme="minorHAnsi" w:hAnsiTheme="minorHAnsi"/>
          <w:szCs w:val="24"/>
        </w:rPr>
        <w:t xml:space="preserve">. Ωστόσο στην ολλανδική αγορά και ιδιαίτερα στη χονδρική πώληση κυκλοφορούν και διαφορετικές συσκευασίες των δύο (2) λίτρων και των 750 </w:t>
      </w:r>
      <w:r w:rsidRPr="000555DC">
        <w:rPr>
          <w:rFonts w:asciiTheme="minorHAnsi" w:hAnsiTheme="minorHAnsi"/>
          <w:szCs w:val="24"/>
          <w:lang w:val="en-US"/>
        </w:rPr>
        <w:t>ml</w:t>
      </w:r>
      <w:r w:rsidRPr="000555DC">
        <w:rPr>
          <w:rFonts w:asciiTheme="minorHAnsi" w:hAnsiTheme="minorHAnsi"/>
          <w:szCs w:val="24"/>
        </w:rPr>
        <w:t xml:space="preserve">. </w:t>
      </w:r>
    </w:p>
    <w:p w:rsidR="000271DA" w:rsidRPr="000555DC" w:rsidRDefault="0093457B" w:rsidP="00FE3B04">
      <w:pPr>
        <w:jc w:val="both"/>
        <w:rPr>
          <w:rFonts w:asciiTheme="minorHAnsi" w:hAnsiTheme="minorHAnsi"/>
          <w:szCs w:val="24"/>
        </w:rPr>
      </w:pPr>
      <w:r w:rsidRPr="000555DC">
        <w:rPr>
          <w:rFonts w:asciiTheme="minorHAnsi" w:hAnsiTheme="minorHAnsi"/>
          <w:szCs w:val="24"/>
        </w:rPr>
        <w:t>ΛΙΑΝΙΚΗ ΤΙΜΗ</w:t>
      </w:r>
    </w:p>
    <w:p w:rsidR="00673A47" w:rsidRPr="000555DC" w:rsidRDefault="001E427F" w:rsidP="00FE3B04">
      <w:pPr>
        <w:jc w:val="both"/>
        <w:rPr>
          <w:rFonts w:asciiTheme="minorHAnsi" w:hAnsiTheme="minorHAnsi"/>
          <w:szCs w:val="24"/>
        </w:rPr>
      </w:pPr>
      <w:r w:rsidRPr="000555DC">
        <w:rPr>
          <w:rFonts w:asciiTheme="minorHAnsi" w:hAnsiTheme="minorHAnsi"/>
          <w:szCs w:val="24"/>
        </w:rPr>
        <w:t xml:space="preserve">Η λιανική τιμή πώλησης του ελαιολάδου ποικίλει ανάλογα με τη συσκευασία και τον χώρο πώλησης. Στις μεγάλες υπεραγορές, η τιμή πώλησης του συσκευασμένου (απλού) ελαιόλαδου κυμαίνεται από 2- 3 ευρώ για τα 500 </w:t>
      </w:r>
      <w:r w:rsidRPr="000555DC">
        <w:rPr>
          <w:rFonts w:asciiTheme="minorHAnsi" w:hAnsiTheme="minorHAnsi"/>
          <w:szCs w:val="24"/>
          <w:lang w:val="en-US"/>
        </w:rPr>
        <w:t>ml</w:t>
      </w:r>
      <w:r w:rsidRPr="000555DC">
        <w:rPr>
          <w:rFonts w:asciiTheme="minorHAnsi" w:hAnsiTheme="minorHAnsi"/>
          <w:szCs w:val="24"/>
        </w:rPr>
        <w:t xml:space="preserve">, ενώ αυτή του έξτρα παρθένου ελαιολάδου (που ενδιαφέρει και τη χώρα μας) κυμαίνεται από 2,5 έως 4 ευρώ τα 500 </w:t>
      </w:r>
      <w:r w:rsidRPr="000555DC">
        <w:rPr>
          <w:rFonts w:asciiTheme="minorHAnsi" w:hAnsiTheme="minorHAnsi"/>
          <w:szCs w:val="24"/>
          <w:lang w:val="en-US"/>
        </w:rPr>
        <w:t>ml</w:t>
      </w:r>
      <w:r w:rsidRPr="000555DC">
        <w:rPr>
          <w:rFonts w:asciiTheme="minorHAnsi" w:hAnsiTheme="minorHAnsi"/>
          <w:szCs w:val="24"/>
        </w:rPr>
        <w:t>. Στα εξειδικευμένα καταστήματα πώλησης τροφίμων (</w:t>
      </w:r>
      <w:r w:rsidR="000555DC" w:rsidRPr="000555DC">
        <w:rPr>
          <w:rFonts w:asciiTheme="minorHAnsi" w:hAnsiTheme="minorHAnsi"/>
          <w:szCs w:val="24"/>
          <w:lang w:val="en-US"/>
        </w:rPr>
        <w:t>delicatessen</w:t>
      </w:r>
      <w:r w:rsidRPr="000555DC">
        <w:rPr>
          <w:rFonts w:asciiTheme="minorHAnsi" w:hAnsiTheme="minorHAnsi"/>
          <w:szCs w:val="24"/>
        </w:rPr>
        <w:t xml:space="preserve">) η τιμή πώλησης είναι υψηλότερη, ενώ στις λαϊκές αγορές, όπου πωλείται και χύμα ελαιόλαδο είναι χαμηλότερη. </w:t>
      </w:r>
    </w:p>
    <w:p w:rsidR="00E92050" w:rsidRPr="000555DC" w:rsidRDefault="001E427F" w:rsidP="001E427F">
      <w:pPr>
        <w:tabs>
          <w:tab w:val="center" w:pos="4153"/>
        </w:tabs>
        <w:jc w:val="both"/>
        <w:rPr>
          <w:rFonts w:asciiTheme="minorHAnsi" w:hAnsiTheme="minorHAnsi"/>
          <w:szCs w:val="24"/>
        </w:rPr>
      </w:pPr>
      <w:r w:rsidRPr="000555DC">
        <w:rPr>
          <w:rFonts w:asciiTheme="minorHAnsi" w:hAnsiTheme="minorHAnsi"/>
          <w:noProof/>
          <w:szCs w:val="24"/>
          <w:lang w:eastAsia="el-GR"/>
        </w:rPr>
        <w:drawing>
          <wp:anchor distT="0" distB="0" distL="114300" distR="114300" simplePos="0" relativeHeight="251660288" behindDoc="1" locked="0" layoutInCell="1" allowOverlap="1" wp14:anchorId="78F41B60" wp14:editId="47CB2258">
            <wp:simplePos x="0" y="0"/>
            <wp:positionH relativeFrom="column">
              <wp:posOffset>978408</wp:posOffset>
            </wp:positionH>
            <wp:positionV relativeFrom="paragraph">
              <wp:posOffset>178459</wp:posOffset>
            </wp:positionV>
            <wp:extent cx="3050438" cy="3101645"/>
            <wp:effectExtent l="0" t="0" r="17145" b="22860"/>
            <wp:wrapNone/>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13297E" w:rsidRPr="000555DC">
        <w:rPr>
          <w:rFonts w:asciiTheme="minorHAnsi" w:hAnsiTheme="minorHAnsi"/>
          <w:szCs w:val="24"/>
        </w:rPr>
        <w:t xml:space="preserve">  </w:t>
      </w:r>
      <w:r w:rsidRPr="000555DC">
        <w:rPr>
          <w:rFonts w:asciiTheme="minorHAnsi" w:hAnsiTheme="minorHAnsi"/>
          <w:szCs w:val="24"/>
        </w:rPr>
        <w:tab/>
      </w:r>
    </w:p>
    <w:p w:rsidR="001A583D" w:rsidRPr="000555DC" w:rsidRDefault="001A583D" w:rsidP="00FE3B04">
      <w:pPr>
        <w:jc w:val="both"/>
        <w:rPr>
          <w:rFonts w:asciiTheme="minorHAnsi" w:hAnsiTheme="minorHAnsi"/>
          <w:szCs w:val="24"/>
        </w:rPr>
      </w:pPr>
    </w:p>
    <w:p w:rsidR="001A583D" w:rsidRPr="000555DC" w:rsidRDefault="001A583D" w:rsidP="00FE3B04">
      <w:pPr>
        <w:jc w:val="both"/>
        <w:rPr>
          <w:rFonts w:asciiTheme="minorHAnsi" w:hAnsiTheme="minorHAnsi"/>
          <w:szCs w:val="24"/>
        </w:rPr>
      </w:pPr>
    </w:p>
    <w:p w:rsidR="001A583D" w:rsidRPr="000555DC" w:rsidRDefault="001A583D" w:rsidP="00FE3B04">
      <w:pPr>
        <w:jc w:val="both"/>
        <w:rPr>
          <w:rFonts w:asciiTheme="minorHAnsi" w:hAnsiTheme="minorHAnsi"/>
          <w:szCs w:val="24"/>
        </w:rPr>
      </w:pPr>
    </w:p>
    <w:p w:rsidR="001A583D" w:rsidRPr="000555DC" w:rsidRDefault="001A583D" w:rsidP="00FE3B04">
      <w:pPr>
        <w:jc w:val="both"/>
        <w:rPr>
          <w:rFonts w:asciiTheme="minorHAnsi" w:hAnsiTheme="minorHAnsi"/>
          <w:szCs w:val="24"/>
        </w:rPr>
      </w:pPr>
    </w:p>
    <w:p w:rsidR="001A583D" w:rsidRPr="000555DC" w:rsidRDefault="001A583D" w:rsidP="00FE3B04">
      <w:pPr>
        <w:jc w:val="both"/>
        <w:rPr>
          <w:rFonts w:asciiTheme="minorHAnsi" w:hAnsiTheme="minorHAnsi"/>
          <w:szCs w:val="24"/>
        </w:rPr>
      </w:pPr>
    </w:p>
    <w:p w:rsidR="001A583D" w:rsidRPr="000555DC" w:rsidRDefault="001A583D" w:rsidP="00FE3B04">
      <w:pPr>
        <w:jc w:val="both"/>
        <w:rPr>
          <w:rFonts w:asciiTheme="minorHAnsi" w:hAnsiTheme="minorHAnsi"/>
          <w:szCs w:val="24"/>
        </w:rPr>
      </w:pPr>
    </w:p>
    <w:p w:rsidR="001A583D" w:rsidRPr="000555DC" w:rsidRDefault="001A583D" w:rsidP="00FE3B04">
      <w:pPr>
        <w:jc w:val="both"/>
        <w:rPr>
          <w:rFonts w:asciiTheme="minorHAnsi" w:hAnsiTheme="minorHAnsi"/>
          <w:szCs w:val="24"/>
        </w:rPr>
      </w:pPr>
    </w:p>
    <w:p w:rsidR="001A583D" w:rsidRPr="000555DC" w:rsidRDefault="001A583D" w:rsidP="00FE3B04">
      <w:pPr>
        <w:jc w:val="both"/>
        <w:rPr>
          <w:rFonts w:asciiTheme="minorHAnsi" w:hAnsiTheme="minorHAnsi"/>
          <w:szCs w:val="24"/>
        </w:rPr>
      </w:pPr>
    </w:p>
    <w:p w:rsidR="000555DC" w:rsidRDefault="000555DC" w:rsidP="00FE3B04">
      <w:pPr>
        <w:jc w:val="both"/>
        <w:rPr>
          <w:rFonts w:asciiTheme="minorHAnsi" w:hAnsiTheme="minorHAnsi"/>
          <w:szCs w:val="24"/>
        </w:rPr>
      </w:pPr>
    </w:p>
    <w:p w:rsidR="000555DC" w:rsidRDefault="000555DC" w:rsidP="00FE3B04">
      <w:pPr>
        <w:jc w:val="both"/>
        <w:rPr>
          <w:rFonts w:asciiTheme="minorHAnsi" w:hAnsiTheme="minorHAnsi"/>
          <w:szCs w:val="24"/>
        </w:rPr>
      </w:pPr>
    </w:p>
    <w:p w:rsidR="005B74DB" w:rsidRPr="000555DC" w:rsidRDefault="009847CF" w:rsidP="00FE3B04">
      <w:pPr>
        <w:jc w:val="both"/>
        <w:rPr>
          <w:rFonts w:asciiTheme="minorHAnsi" w:hAnsiTheme="minorHAnsi"/>
          <w:szCs w:val="24"/>
          <w:u w:val="single"/>
        </w:rPr>
      </w:pPr>
      <w:r w:rsidRPr="000555DC">
        <w:rPr>
          <w:rFonts w:asciiTheme="minorHAnsi" w:hAnsiTheme="minorHAnsi"/>
          <w:szCs w:val="24"/>
        </w:rPr>
        <w:t xml:space="preserve">Στα διαγράμματα παρακάτω, παρουσιάζονται </w:t>
      </w:r>
      <w:r w:rsidR="00084D9D" w:rsidRPr="000555DC">
        <w:rPr>
          <w:rFonts w:asciiTheme="minorHAnsi" w:hAnsiTheme="minorHAnsi"/>
          <w:szCs w:val="24"/>
        </w:rPr>
        <w:t xml:space="preserve">αναλυτικοί πίνακες με βάση στοιχεία της </w:t>
      </w:r>
      <w:r w:rsidR="00A912CF" w:rsidRPr="000555DC">
        <w:rPr>
          <w:rFonts w:asciiTheme="minorHAnsi" w:hAnsiTheme="minorHAnsi"/>
          <w:szCs w:val="24"/>
        </w:rPr>
        <w:t xml:space="preserve">Ευρωπαϊκής </w:t>
      </w:r>
      <w:r w:rsidR="00084D9D" w:rsidRPr="000555DC">
        <w:rPr>
          <w:rFonts w:asciiTheme="minorHAnsi" w:hAnsiTheme="minorHAnsi"/>
          <w:szCs w:val="24"/>
        </w:rPr>
        <w:t>Στατιστικής Υπηρεσίας σχετικά με τις εξαγωγές της Ελλάδας</w:t>
      </w:r>
      <w:r w:rsidR="005B74DB" w:rsidRPr="000555DC">
        <w:rPr>
          <w:rFonts w:asciiTheme="minorHAnsi" w:hAnsiTheme="minorHAnsi"/>
          <w:szCs w:val="24"/>
        </w:rPr>
        <w:t>,</w:t>
      </w:r>
      <w:r w:rsidR="00084D9D" w:rsidRPr="000555DC">
        <w:rPr>
          <w:rFonts w:asciiTheme="minorHAnsi" w:hAnsiTheme="minorHAnsi"/>
          <w:szCs w:val="24"/>
        </w:rPr>
        <w:t xml:space="preserve"> </w:t>
      </w:r>
      <w:r w:rsidR="005B74DB" w:rsidRPr="000555DC">
        <w:rPr>
          <w:rFonts w:asciiTheme="minorHAnsi" w:hAnsiTheme="minorHAnsi"/>
          <w:szCs w:val="24"/>
        </w:rPr>
        <w:t>τ</w:t>
      </w:r>
      <w:r w:rsidR="00084D9D" w:rsidRPr="000555DC">
        <w:rPr>
          <w:rFonts w:asciiTheme="minorHAnsi" w:hAnsiTheme="minorHAnsi"/>
          <w:szCs w:val="24"/>
        </w:rPr>
        <w:t>ης Ιταλίας κα</w:t>
      </w:r>
      <w:r w:rsidR="005912DC" w:rsidRPr="000555DC">
        <w:rPr>
          <w:rFonts w:asciiTheme="minorHAnsi" w:hAnsiTheme="minorHAnsi"/>
          <w:szCs w:val="24"/>
        </w:rPr>
        <w:t xml:space="preserve">ι Ισπανίας για λόγους σύγκρισης. </w:t>
      </w:r>
      <w:r w:rsidR="005912DC" w:rsidRPr="000555DC">
        <w:rPr>
          <w:rFonts w:asciiTheme="minorHAnsi" w:hAnsiTheme="minorHAnsi"/>
          <w:szCs w:val="24"/>
          <w:u w:val="single"/>
        </w:rPr>
        <w:t xml:space="preserve">(Πηγή: </w:t>
      </w:r>
      <w:r w:rsidR="005912DC" w:rsidRPr="000555DC">
        <w:rPr>
          <w:rFonts w:asciiTheme="minorHAnsi" w:hAnsiTheme="minorHAnsi"/>
          <w:szCs w:val="24"/>
          <w:u w:val="single"/>
          <w:lang w:val="en-GB"/>
        </w:rPr>
        <w:t>Eurostat</w:t>
      </w:r>
      <w:r w:rsidR="005912DC" w:rsidRPr="000555DC">
        <w:rPr>
          <w:rFonts w:asciiTheme="minorHAnsi" w:hAnsiTheme="minorHAnsi"/>
          <w:szCs w:val="24"/>
          <w:u w:val="single"/>
        </w:rPr>
        <w:t xml:space="preserve">, </w:t>
      </w:r>
      <w:r w:rsidR="005912DC" w:rsidRPr="000555DC">
        <w:rPr>
          <w:rFonts w:asciiTheme="minorHAnsi" w:hAnsiTheme="minorHAnsi"/>
          <w:szCs w:val="24"/>
          <w:u w:val="single"/>
          <w:lang w:val="en-GB"/>
        </w:rPr>
        <w:t>EU</w:t>
      </w:r>
      <w:r w:rsidR="005912DC" w:rsidRPr="000555DC">
        <w:rPr>
          <w:rFonts w:asciiTheme="minorHAnsi" w:hAnsiTheme="minorHAnsi"/>
          <w:szCs w:val="24"/>
          <w:u w:val="single"/>
        </w:rPr>
        <w:t xml:space="preserve"> </w:t>
      </w:r>
      <w:r w:rsidR="005912DC" w:rsidRPr="000555DC">
        <w:rPr>
          <w:rFonts w:asciiTheme="minorHAnsi" w:hAnsiTheme="minorHAnsi"/>
          <w:szCs w:val="24"/>
          <w:u w:val="single"/>
          <w:lang w:val="en-GB"/>
        </w:rPr>
        <w:t>trade</w:t>
      </w:r>
      <w:r w:rsidR="005912DC" w:rsidRPr="000555DC">
        <w:rPr>
          <w:rFonts w:asciiTheme="minorHAnsi" w:hAnsiTheme="minorHAnsi"/>
          <w:szCs w:val="24"/>
          <w:u w:val="single"/>
        </w:rPr>
        <w:t xml:space="preserve"> </w:t>
      </w:r>
      <w:r w:rsidR="005912DC" w:rsidRPr="000555DC">
        <w:rPr>
          <w:rFonts w:asciiTheme="minorHAnsi" w:hAnsiTheme="minorHAnsi"/>
          <w:szCs w:val="24"/>
          <w:u w:val="single"/>
          <w:lang w:val="en-GB"/>
        </w:rPr>
        <w:t>by</w:t>
      </w:r>
      <w:r w:rsidR="005912DC" w:rsidRPr="000555DC">
        <w:rPr>
          <w:rFonts w:asciiTheme="minorHAnsi" w:hAnsiTheme="minorHAnsi"/>
          <w:szCs w:val="24"/>
          <w:u w:val="single"/>
        </w:rPr>
        <w:t xml:space="preserve"> </w:t>
      </w:r>
      <w:r w:rsidR="005912DC" w:rsidRPr="000555DC">
        <w:rPr>
          <w:rFonts w:asciiTheme="minorHAnsi" w:hAnsiTheme="minorHAnsi"/>
          <w:szCs w:val="24"/>
          <w:u w:val="single"/>
          <w:lang w:val="en-GB"/>
        </w:rPr>
        <w:t>HS</w:t>
      </w:r>
      <w:r w:rsidR="005912DC" w:rsidRPr="000555DC">
        <w:rPr>
          <w:rFonts w:asciiTheme="minorHAnsi" w:hAnsiTheme="minorHAnsi"/>
          <w:szCs w:val="24"/>
          <w:u w:val="single"/>
        </w:rPr>
        <w:t>6, 22/04/2015)</w:t>
      </w:r>
    </w:p>
    <w:p w:rsidR="00084D9D" w:rsidRPr="000555DC" w:rsidRDefault="00084D9D" w:rsidP="00FE3B04">
      <w:pPr>
        <w:jc w:val="both"/>
        <w:rPr>
          <w:rFonts w:asciiTheme="minorHAnsi" w:hAnsiTheme="minorHAnsi"/>
          <w:szCs w:val="24"/>
        </w:rPr>
      </w:pPr>
      <w:r w:rsidRPr="000555DC">
        <w:rPr>
          <w:rFonts w:asciiTheme="minorHAnsi" w:hAnsiTheme="minorHAnsi"/>
          <w:noProof/>
          <w:lang w:eastAsia="el-GR"/>
        </w:rPr>
        <w:lastRenderedPageBreak/>
        <w:drawing>
          <wp:inline distT="0" distB="0" distL="0" distR="0" wp14:anchorId="56F1562B" wp14:editId="0383A56A">
            <wp:extent cx="5657850" cy="2085975"/>
            <wp:effectExtent l="0" t="0" r="1905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W w:w="9016" w:type="dxa"/>
        <w:tblInd w:w="93" w:type="dxa"/>
        <w:tblLook w:val="04A0" w:firstRow="1" w:lastRow="0" w:firstColumn="1" w:lastColumn="0" w:noHBand="0" w:noVBand="1"/>
      </w:tblPr>
      <w:tblGrid>
        <w:gridCol w:w="2527"/>
        <w:gridCol w:w="2637"/>
        <w:gridCol w:w="1926"/>
        <w:gridCol w:w="1926"/>
      </w:tblGrid>
      <w:tr w:rsidR="005B74DB" w:rsidRPr="000555DC" w:rsidTr="005912DC">
        <w:trPr>
          <w:trHeight w:val="296"/>
        </w:trPr>
        <w:tc>
          <w:tcPr>
            <w:tcW w:w="2527" w:type="dxa"/>
            <w:tcBorders>
              <w:top w:val="single" w:sz="4" w:space="0" w:color="000000"/>
              <w:left w:val="single" w:sz="4" w:space="0" w:color="000000"/>
              <w:bottom w:val="single" w:sz="4" w:space="0" w:color="000000"/>
              <w:right w:val="single" w:sz="4" w:space="0" w:color="000000"/>
            </w:tcBorders>
            <w:shd w:val="clear" w:color="000000" w:fill="95B3D7"/>
            <w:noWrap/>
            <w:vAlign w:val="bottom"/>
            <w:hideMark/>
          </w:tcPr>
          <w:p w:rsidR="005B74DB" w:rsidRPr="000555DC" w:rsidRDefault="005B74DB" w:rsidP="005B74DB">
            <w:pPr>
              <w:spacing w:after="0" w:line="240" w:lineRule="auto"/>
              <w:rPr>
                <w:rFonts w:asciiTheme="minorHAnsi" w:eastAsia="Times New Roman" w:hAnsiTheme="minorHAnsi"/>
                <w:color w:val="FFFFFF"/>
                <w:sz w:val="22"/>
                <w:lang w:val="en-GB" w:eastAsia="en-GB"/>
              </w:rPr>
            </w:pPr>
            <w:proofErr w:type="spellStart"/>
            <w:r w:rsidRPr="000555DC">
              <w:rPr>
                <w:rFonts w:asciiTheme="minorHAnsi" w:eastAsia="Times New Roman" w:hAnsiTheme="minorHAnsi"/>
                <w:color w:val="FFFFFF"/>
                <w:sz w:val="22"/>
                <w:lang w:val="en-GB" w:eastAsia="en-GB"/>
              </w:rPr>
              <w:t>Περίοδος</w:t>
            </w:r>
            <w:proofErr w:type="spellEnd"/>
            <w:r w:rsidRPr="000555DC">
              <w:rPr>
                <w:rFonts w:asciiTheme="minorHAnsi" w:eastAsia="Times New Roman" w:hAnsiTheme="minorHAnsi"/>
                <w:color w:val="FFFFFF"/>
                <w:sz w:val="22"/>
                <w:lang w:val="en-GB" w:eastAsia="en-GB"/>
              </w:rPr>
              <w:t>/</w:t>
            </w:r>
            <w:proofErr w:type="spellStart"/>
            <w:r w:rsidRPr="000555DC">
              <w:rPr>
                <w:rFonts w:asciiTheme="minorHAnsi" w:eastAsia="Times New Roman" w:hAnsiTheme="minorHAnsi"/>
                <w:color w:val="FFFFFF"/>
                <w:sz w:val="22"/>
                <w:lang w:val="en-GB" w:eastAsia="en-GB"/>
              </w:rPr>
              <w:t>Εξ</w:t>
            </w:r>
            <w:proofErr w:type="spellEnd"/>
            <w:r w:rsidRPr="000555DC">
              <w:rPr>
                <w:rFonts w:asciiTheme="minorHAnsi" w:eastAsia="Times New Roman" w:hAnsiTheme="minorHAnsi"/>
                <w:color w:val="FFFFFF"/>
                <w:sz w:val="22"/>
                <w:lang w:val="en-GB" w:eastAsia="en-GB"/>
              </w:rPr>
              <w:t>αγωγέας</w:t>
            </w:r>
          </w:p>
        </w:tc>
        <w:tc>
          <w:tcPr>
            <w:tcW w:w="2637" w:type="dxa"/>
            <w:tcBorders>
              <w:top w:val="nil"/>
              <w:left w:val="nil"/>
              <w:bottom w:val="nil"/>
              <w:right w:val="nil"/>
            </w:tcBorders>
            <w:shd w:val="clear" w:color="000000" w:fill="95B3D7"/>
            <w:noWrap/>
            <w:vAlign w:val="bottom"/>
            <w:hideMark/>
          </w:tcPr>
          <w:p w:rsidR="005B74DB" w:rsidRPr="000555DC" w:rsidRDefault="005B74DB" w:rsidP="009B0A72">
            <w:pPr>
              <w:spacing w:after="0" w:line="240" w:lineRule="auto"/>
              <w:jc w:val="center"/>
              <w:rPr>
                <w:rFonts w:asciiTheme="minorHAnsi" w:eastAsia="Times New Roman" w:hAnsiTheme="minorHAnsi"/>
                <w:color w:val="FFFFFF"/>
                <w:sz w:val="22"/>
                <w:lang w:val="en-GB" w:eastAsia="en-GB"/>
              </w:rPr>
            </w:pPr>
            <w:proofErr w:type="spellStart"/>
            <w:r w:rsidRPr="000555DC">
              <w:rPr>
                <w:rFonts w:asciiTheme="minorHAnsi" w:eastAsia="Times New Roman" w:hAnsiTheme="minorHAnsi"/>
                <w:color w:val="FFFFFF"/>
                <w:sz w:val="22"/>
                <w:lang w:val="en-GB" w:eastAsia="en-GB"/>
              </w:rPr>
              <w:t>Ελλάδ</w:t>
            </w:r>
            <w:proofErr w:type="spellEnd"/>
            <w:r w:rsidRPr="000555DC">
              <w:rPr>
                <w:rFonts w:asciiTheme="minorHAnsi" w:eastAsia="Times New Roman" w:hAnsiTheme="minorHAnsi"/>
                <w:color w:val="FFFFFF"/>
                <w:sz w:val="22"/>
                <w:lang w:val="en-GB" w:eastAsia="en-GB"/>
              </w:rPr>
              <w:t>α</w:t>
            </w:r>
          </w:p>
        </w:tc>
        <w:tc>
          <w:tcPr>
            <w:tcW w:w="1926" w:type="dxa"/>
            <w:tcBorders>
              <w:top w:val="nil"/>
              <w:left w:val="nil"/>
              <w:bottom w:val="nil"/>
              <w:right w:val="nil"/>
            </w:tcBorders>
            <w:shd w:val="clear" w:color="000000" w:fill="95B3D7"/>
            <w:noWrap/>
            <w:vAlign w:val="bottom"/>
            <w:hideMark/>
          </w:tcPr>
          <w:p w:rsidR="005B74DB" w:rsidRPr="000555DC" w:rsidRDefault="005B74DB" w:rsidP="009B0A72">
            <w:pPr>
              <w:spacing w:after="0" w:line="240" w:lineRule="auto"/>
              <w:jc w:val="center"/>
              <w:rPr>
                <w:rFonts w:asciiTheme="minorHAnsi" w:eastAsia="Times New Roman" w:hAnsiTheme="minorHAnsi"/>
                <w:color w:val="FFFFFF"/>
                <w:sz w:val="22"/>
                <w:lang w:val="en-GB" w:eastAsia="en-GB"/>
              </w:rPr>
            </w:pPr>
            <w:proofErr w:type="spellStart"/>
            <w:r w:rsidRPr="000555DC">
              <w:rPr>
                <w:rFonts w:asciiTheme="minorHAnsi" w:eastAsia="Times New Roman" w:hAnsiTheme="minorHAnsi"/>
                <w:color w:val="FFFFFF"/>
                <w:sz w:val="22"/>
                <w:lang w:val="en-GB" w:eastAsia="en-GB"/>
              </w:rPr>
              <w:t>Ιτ</w:t>
            </w:r>
            <w:proofErr w:type="spellEnd"/>
            <w:r w:rsidRPr="000555DC">
              <w:rPr>
                <w:rFonts w:asciiTheme="minorHAnsi" w:eastAsia="Times New Roman" w:hAnsiTheme="minorHAnsi"/>
                <w:color w:val="FFFFFF"/>
                <w:sz w:val="22"/>
                <w:lang w:val="en-GB" w:eastAsia="en-GB"/>
              </w:rPr>
              <w:t>αλία</w:t>
            </w:r>
          </w:p>
        </w:tc>
        <w:tc>
          <w:tcPr>
            <w:tcW w:w="1926" w:type="dxa"/>
            <w:tcBorders>
              <w:top w:val="nil"/>
              <w:left w:val="nil"/>
              <w:bottom w:val="nil"/>
              <w:right w:val="nil"/>
            </w:tcBorders>
            <w:shd w:val="clear" w:color="000000" w:fill="95B3D7"/>
            <w:noWrap/>
            <w:vAlign w:val="bottom"/>
            <w:hideMark/>
          </w:tcPr>
          <w:p w:rsidR="005B74DB" w:rsidRPr="000555DC" w:rsidRDefault="005B74DB" w:rsidP="009B0A72">
            <w:pPr>
              <w:spacing w:after="0" w:line="240" w:lineRule="auto"/>
              <w:jc w:val="center"/>
              <w:rPr>
                <w:rFonts w:asciiTheme="minorHAnsi" w:eastAsia="Times New Roman" w:hAnsiTheme="minorHAnsi"/>
                <w:color w:val="FFFFFF"/>
                <w:sz w:val="22"/>
                <w:lang w:val="en-GB" w:eastAsia="en-GB"/>
              </w:rPr>
            </w:pPr>
            <w:proofErr w:type="spellStart"/>
            <w:r w:rsidRPr="000555DC">
              <w:rPr>
                <w:rFonts w:asciiTheme="minorHAnsi" w:eastAsia="Times New Roman" w:hAnsiTheme="minorHAnsi"/>
                <w:color w:val="FFFFFF"/>
                <w:sz w:val="22"/>
                <w:lang w:val="en-GB" w:eastAsia="en-GB"/>
              </w:rPr>
              <w:t>Ισ</w:t>
            </w:r>
            <w:proofErr w:type="spellEnd"/>
            <w:r w:rsidRPr="000555DC">
              <w:rPr>
                <w:rFonts w:asciiTheme="minorHAnsi" w:eastAsia="Times New Roman" w:hAnsiTheme="minorHAnsi"/>
                <w:color w:val="FFFFFF"/>
                <w:sz w:val="22"/>
                <w:lang w:val="en-GB" w:eastAsia="en-GB"/>
              </w:rPr>
              <w:t>πανία</w:t>
            </w:r>
          </w:p>
        </w:tc>
      </w:tr>
      <w:tr w:rsidR="005B74DB" w:rsidRPr="00574C09" w:rsidTr="005912DC">
        <w:trPr>
          <w:trHeight w:val="296"/>
        </w:trPr>
        <w:tc>
          <w:tcPr>
            <w:tcW w:w="2527" w:type="dxa"/>
            <w:tcBorders>
              <w:top w:val="nil"/>
              <w:left w:val="single" w:sz="4" w:space="0" w:color="000000"/>
              <w:bottom w:val="single" w:sz="4" w:space="0" w:color="000000"/>
              <w:right w:val="single" w:sz="4" w:space="0" w:color="000000"/>
            </w:tcBorders>
            <w:shd w:val="clear" w:color="000000" w:fill="95B3D7"/>
            <w:noWrap/>
            <w:vAlign w:val="bottom"/>
            <w:hideMark/>
          </w:tcPr>
          <w:p w:rsidR="005B74DB" w:rsidRPr="00574C09" w:rsidRDefault="00574C09" w:rsidP="005B74DB">
            <w:pPr>
              <w:spacing w:after="0" w:line="240" w:lineRule="auto"/>
              <w:rPr>
                <w:rFonts w:asciiTheme="minorHAnsi" w:eastAsia="Times New Roman" w:hAnsiTheme="minorHAnsi"/>
                <w:sz w:val="22"/>
                <w:lang w:val="nl-NL" w:eastAsia="en-GB"/>
              </w:rPr>
            </w:pPr>
            <w:r w:rsidRPr="00574C09">
              <w:rPr>
                <w:rFonts w:asciiTheme="minorHAnsi" w:eastAsia="Times New Roman" w:hAnsiTheme="minorHAnsi"/>
                <w:sz w:val="22"/>
                <w:lang w:eastAsia="en-GB"/>
              </w:rPr>
              <w:t>Ιαν</w:t>
            </w:r>
            <w:r w:rsidRPr="00574C09">
              <w:rPr>
                <w:rFonts w:asciiTheme="minorHAnsi" w:eastAsia="Times New Roman" w:hAnsiTheme="minorHAnsi"/>
                <w:sz w:val="22"/>
                <w:lang w:val="nl-NL" w:eastAsia="en-GB"/>
              </w:rPr>
              <w:t xml:space="preserve">.- </w:t>
            </w:r>
            <w:r w:rsidRPr="00574C09">
              <w:rPr>
                <w:rFonts w:asciiTheme="minorHAnsi" w:eastAsia="Times New Roman" w:hAnsiTheme="minorHAnsi"/>
                <w:sz w:val="22"/>
                <w:lang w:eastAsia="en-GB"/>
              </w:rPr>
              <w:t>Δεκ</w:t>
            </w:r>
            <w:r w:rsidRPr="00574C09">
              <w:rPr>
                <w:rFonts w:asciiTheme="minorHAnsi" w:eastAsia="Times New Roman" w:hAnsiTheme="minorHAnsi"/>
                <w:sz w:val="22"/>
                <w:lang w:val="nl-NL" w:eastAsia="en-GB"/>
              </w:rPr>
              <w:t>.</w:t>
            </w:r>
            <w:r w:rsidR="005B74DB" w:rsidRPr="00574C09">
              <w:rPr>
                <w:rFonts w:asciiTheme="minorHAnsi" w:eastAsia="Times New Roman" w:hAnsiTheme="minorHAnsi"/>
                <w:sz w:val="22"/>
                <w:lang w:val="nl-NL" w:eastAsia="en-GB"/>
              </w:rPr>
              <w:t xml:space="preserve"> 2009</w:t>
            </w:r>
          </w:p>
        </w:tc>
        <w:tc>
          <w:tcPr>
            <w:tcW w:w="2637" w:type="dxa"/>
            <w:tcBorders>
              <w:top w:val="single" w:sz="4" w:space="0" w:color="000000"/>
              <w:left w:val="nil"/>
              <w:bottom w:val="single" w:sz="4" w:space="0" w:color="000000"/>
              <w:right w:val="single" w:sz="4" w:space="0" w:color="000000"/>
            </w:tcBorders>
            <w:shd w:val="clear" w:color="auto" w:fill="auto"/>
            <w:noWrap/>
            <w:vAlign w:val="bottom"/>
            <w:hideMark/>
          </w:tcPr>
          <w:p w:rsidR="005B74DB" w:rsidRPr="00574C09" w:rsidRDefault="005B74DB" w:rsidP="005B74DB">
            <w:pPr>
              <w:spacing w:after="0" w:line="240" w:lineRule="auto"/>
              <w:jc w:val="right"/>
              <w:rPr>
                <w:rFonts w:asciiTheme="minorHAnsi" w:eastAsia="Times New Roman" w:hAnsiTheme="minorHAnsi" w:cs="Arial"/>
                <w:sz w:val="20"/>
                <w:szCs w:val="20"/>
                <w:lang w:val="nl-NL" w:eastAsia="en-GB"/>
              </w:rPr>
            </w:pPr>
            <w:r w:rsidRPr="00574C09">
              <w:rPr>
                <w:rFonts w:asciiTheme="minorHAnsi" w:eastAsia="Times New Roman" w:hAnsiTheme="minorHAnsi" w:cs="Arial"/>
                <w:sz w:val="20"/>
                <w:szCs w:val="20"/>
                <w:lang w:val="nl-NL" w:eastAsia="en-GB"/>
              </w:rPr>
              <w:t>2,720,869,077</w:t>
            </w:r>
          </w:p>
        </w:tc>
        <w:tc>
          <w:tcPr>
            <w:tcW w:w="1926" w:type="dxa"/>
            <w:tcBorders>
              <w:top w:val="single" w:sz="4" w:space="0" w:color="000000"/>
              <w:left w:val="nil"/>
              <w:bottom w:val="single" w:sz="4" w:space="0" w:color="000000"/>
              <w:right w:val="single" w:sz="4" w:space="0" w:color="000000"/>
            </w:tcBorders>
            <w:shd w:val="clear" w:color="auto" w:fill="auto"/>
            <w:noWrap/>
            <w:vAlign w:val="bottom"/>
            <w:hideMark/>
          </w:tcPr>
          <w:p w:rsidR="005B74DB" w:rsidRPr="00574C09" w:rsidRDefault="005B74DB" w:rsidP="005B74DB">
            <w:pPr>
              <w:spacing w:after="0" w:line="240" w:lineRule="auto"/>
              <w:jc w:val="right"/>
              <w:rPr>
                <w:rFonts w:asciiTheme="minorHAnsi" w:eastAsia="Times New Roman" w:hAnsiTheme="minorHAnsi" w:cs="Arial"/>
                <w:sz w:val="20"/>
                <w:szCs w:val="20"/>
                <w:lang w:val="nl-NL" w:eastAsia="en-GB"/>
              </w:rPr>
            </w:pPr>
            <w:r w:rsidRPr="00574C09">
              <w:rPr>
                <w:rFonts w:asciiTheme="minorHAnsi" w:eastAsia="Times New Roman" w:hAnsiTheme="minorHAnsi" w:cs="Arial"/>
                <w:sz w:val="20"/>
                <w:szCs w:val="20"/>
                <w:lang w:val="nl-NL" w:eastAsia="en-GB"/>
              </w:rPr>
              <w:t>18,043,292,794</w:t>
            </w:r>
          </w:p>
        </w:tc>
        <w:tc>
          <w:tcPr>
            <w:tcW w:w="1926" w:type="dxa"/>
            <w:tcBorders>
              <w:top w:val="single" w:sz="4" w:space="0" w:color="000000"/>
              <w:left w:val="nil"/>
              <w:bottom w:val="single" w:sz="4" w:space="0" w:color="000000"/>
              <w:right w:val="single" w:sz="4" w:space="0" w:color="000000"/>
            </w:tcBorders>
            <w:shd w:val="clear" w:color="auto" w:fill="auto"/>
            <w:noWrap/>
            <w:vAlign w:val="bottom"/>
            <w:hideMark/>
          </w:tcPr>
          <w:p w:rsidR="005B74DB" w:rsidRPr="00574C09" w:rsidRDefault="005B74DB" w:rsidP="005B74DB">
            <w:pPr>
              <w:spacing w:after="0" w:line="240" w:lineRule="auto"/>
              <w:jc w:val="right"/>
              <w:rPr>
                <w:rFonts w:asciiTheme="minorHAnsi" w:eastAsia="Times New Roman" w:hAnsiTheme="minorHAnsi" w:cs="Arial"/>
                <w:sz w:val="20"/>
                <w:szCs w:val="20"/>
                <w:lang w:val="nl-NL" w:eastAsia="en-GB"/>
              </w:rPr>
            </w:pPr>
            <w:r w:rsidRPr="00574C09">
              <w:rPr>
                <w:rFonts w:asciiTheme="minorHAnsi" w:eastAsia="Times New Roman" w:hAnsiTheme="minorHAnsi" w:cs="Arial"/>
                <w:sz w:val="20"/>
                <w:szCs w:val="20"/>
                <w:lang w:val="nl-NL" w:eastAsia="en-GB"/>
              </w:rPr>
              <w:t>12,258,468,883</w:t>
            </w:r>
          </w:p>
        </w:tc>
      </w:tr>
      <w:tr w:rsidR="005B74DB" w:rsidRPr="00574C09" w:rsidTr="005912DC">
        <w:trPr>
          <w:trHeight w:val="296"/>
        </w:trPr>
        <w:tc>
          <w:tcPr>
            <w:tcW w:w="2527" w:type="dxa"/>
            <w:tcBorders>
              <w:top w:val="nil"/>
              <w:left w:val="single" w:sz="4" w:space="0" w:color="000000"/>
              <w:bottom w:val="single" w:sz="4" w:space="0" w:color="000000"/>
              <w:right w:val="single" w:sz="4" w:space="0" w:color="000000"/>
            </w:tcBorders>
            <w:shd w:val="clear" w:color="000000" w:fill="95B3D7"/>
            <w:noWrap/>
            <w:vAlign w:val="bottom"/>
            <w:hideMark/>
          </w:tcPr>
          <w:p w:rsidR="005B74DB" w:rsidRPr="00574C09" w:rsidRDefault="00574C09" w:rsidP="005B74DB">
            <w:pPr>
              <w:spacing w:after="0" w:line="240" w:lineRule="auto"/>
              <w:rPr>
                <w:rFonts w:asciiTheme="minorHAnsi" w:eastAsia="Times New Roman" w:hAnsiTheme="minorHAnsi"/>
                <w:sz w:val="22"/>
                <w:lang w:val="nl-NL" w:eastAsia="en-GB"/>
              </w:rPr>
            </w:pPr>
            <w:r w:rsidRPr="00574C09">
              <w:rPr>
                <w:rFonts w:asciiTheme="minorHAnsi" w:eastAsia="Times New Roman" w:hAnsiTheme="minorHAnsi"/>
                <w:sz w:val="22"/>
                <w:lang w:eastAsia="en-GB"/>
              </w:rPr>
              <w:t>Ιαν</w:t>
            </w:r>
            <w:r w:rsidRPr="00574C09">
              <w:rPr>
                <w:rFonts w:asciiTheme="minorHAnsi" w:eastAsia="Times New Roman" w:hAnsiTheme="minorHAnsi"/>
                <w:sz w:val="22"/>
                <w:lang w:val="nl-NL" w:eastAsia="en-GB"/>
              </w:rPr>
              <w:t xml:space="preserve">.- </w:t>
            </w:r>
            <w:r w:rsidRPr="00574C09">
              <w:rPr>
                <w:rFonts w:asciiTheme="minorHAnsi" w:eastAsia="Times New Roman" w:hAnsiTheme="minorHAnsi"/>
                <w:sz w:val="22"/>
                <w:lang w:eastAsia="en-GB"/>
              </w:rPr>
              <w:t>Δεκ</w:t>
            </w:r>
            <w:r w:rsidRPr="00574C09">
              <w:rPr>
                <w:rFonts w:asciiTheme="minorHAnsi" w:eastAsia="Times New Roman" w:hAnsiTheme="minorHAnsi"/>
                <w:sz w:val="22"/>
                <w:lang w:val="nl-NL" w:eastAsia="en-GB"/>
              </w:rPr>
              <w:t xml:space="preserve">. </w:t>
            </w:r>
            <w:r w:rsidR="005B74DB" w:rsidRPr="00574C09">
              <w:rPr>
                <w:rFonts w:asciiTheme="minorHAnsi" w:eastAsia="Times New Roman" w:hAnsiTheme="minorHAnsi"/>
                <w:sz w:val="22"/>
                <w:lang w:val="nl-NL" w:eastAsia="en-GB"/>
              </w:rPr>
              <w:t>2010</w:t>
            </w:r>
          </w:p>
        </w:tc>
        <w:tc>
          <w:tcPr>
            <w:tcW w:w="2637" w:type="dxa"/>
            <w:tcBorders>
              <w:top w:val="nil"/>
              <w:left w:val="nil"/>
              <w:bottom w:val="single" w:sz="4" w:space="0" w:color="000000"/>
              <w:right w:val="single" w:sz="4" w:space="0" w:color="000000"/>
            </w:tcBorders>
            <w:shd w:val="clear" w:color="auto" w:fill="auto"/>
            <w:noWrap/>
            <w:vAlign w:val="bottom"/>
            <w:hideMark/>
          </w:tcPr>
          <w:p w:rsidR="005B74DB" w:rsidRPr="00574C09" w:rsidRDefault="005B74DB" w:rsidP="005B74DB">
            <w:pPr>
              <w:spacing w:after="0" w:line="240" w:lineRule="auto"/>
              <w:jc w:val="right"/>
              <w:rPr>
                <w:rFonts w:asciiTheme="minorHAnsi" w:eastAsia="Times New Roman" w:hAnsiTheme="minorHAnsi" w:cs="Arial"/>
                <w:sz w:val="20"/>
                <w:szCs w:val="20"/>
                <w:lang w:val="nl-NL" w:eastAsia="en-GB"/>
              </w:rPr>
            </w:pPr>
            <w:r w:rsidRPr="00574C09">
              <w:rPr>
                <w:rFonts w:asciiTheme="minorHAnsi" w:eastAsia="Times New Roman" w:hAnsiTheme="minorHAnsi" w:cs="Arial"/>
                <w:sz w:val="20"/>
                <w:szCs w:val="20"/>
                <w:lang w:val="nl-NL" w:eastAsia="en-GB"/>
              </w:rPr>
              <w:t>2,667,700,539</w:t>
            </w:r>
          </w:p>
        </w:tc>
        <w:tc>
          <w:tcPr>
            <w:tcW w:w="1926" w:type="dxa"/>
            <w:tcBorders>
              <w:top w:val="nil"/>
              <w:left w:val="nil"/>
              <w:bottom w:val="single" w:sz="4" w:space="0" w:color="000000"/>
              <w:right w:val="single" w:sz="4" w:space="0" w:color="000000"/>
            </w:tcBorders>
            <w:shd w:val="clear" w:color="auto" w:fill="auto"/>
            <w:noWrap/>
            <w:vAlign w:val="bottom"/>
            <w:hideMark/>
          </w:tcPr>
          <w:p w:rsidR="005B74DB" w:rsidRPr="00574C09" w:rsidRDefault="005B74DB" w:rsidP="005B74DB">
            <w:pPr>
              <w:spacing w:after="0" w:line="240" w:lineRule="auto"/>
              <w:jc w:val="right"/>
              <w:rPr>
                <w:rFonts w:asciiTheme="minorHAnsi" w:eastAsia="Times New Roman" w:hAnsiTheme="minorHAnsi" w:cs="Arial"/>
                <w:sz w:val="20"/>
                <w:szCs w:val="20"/>
                <w:lang w:val="nl-NL" w:eastAsia="en-GB"/>
              </w:rPr>
            </w:pPr>
            <w:r w:rsidRPr="00574C09">
              <w:rPr>
                <w:rFonts w:asciiTheme="minorHAnsi" w:eastAsia="Times New Roman" w:hAnsiTheme="minorHAnsi" w:cs="Arial"/>
                <w:sz w:val="20"/>
                <w:szCs w:val="20"/>
                <w:lang w:val="nl-NL" w:eastAsia="en-GB"/>
              </w:rPr>
              <w:t>21,076,847,686</w:t>
            </w:r>
          </w:p>
        </w:tc>
        <w:tc>
          <w:tcPr>
            <w:tcW w:w="1926" w:type="dxa"/>
            <w:tcBorders>
              <w:top w:val="nil"/>
              <w:left w:val="nil"/>
              <w:bottom w:val="single" w:sz="4" w:space="0" w:color="000000"/>
              <w:right w:val="single" w:sz="4" w:space="0" w:color="000000"/>
            </w:tcBorders>
            <w:shd w:val="clear" w:color="auto" w:fill="auto"/>
            <w:noWrap/>
            <w:vAlign w:val="bottom"/>
            <w:hideMark/>
          </w:tcPr>
          <w:p w:rsidR="005B74DB" w:rsidRPr="00574C09" w:rsidRDefault="005B74DB" w:rsidP="005B74DB">
            <w:pPr>
              <w:spacing w:after="0" w:line="240" w:lineRule="auto"/>
              <w:jc w:val="right"/>
              <w:rPr>
                <w:rFonts w:asciiTheme="minorHAnsi" w:eastAsia="Times New Roman" w:hAnsiTheme="minorHAnsi" w:cs="Arial"/>
                <w:sz w:val="20"/>
                <w:szCs w:val="20"/>
                <w:lang w:val="nl-NL" w:eastAsia="en-GB"/>
              </w:rPr>
            </w:pPr>
            <w:r w:rsidRPr="00574C09">
              <w:rPr>
                <w:rFonts w:asciiTheme="minorHAnsi" w:eastAsia="Times New Roman" w:hAnsiTheme="minorHAnsi" w:cs="Arial"/>
                <w:sz w:val="20"/>
                <w:szCs w:val="20"/>
                <w:lang w:val="nl-NL" w:eastAsia="en-GB"/>
              </w:rPr>
              <w:t>14,804,382,605</w:t>
            </w:r>
          </w:p>
        </w:tc>
      </w:tr>
      <w:tr w:rsidR="005B74DB" w:rsidRPr="000555DC" w:rsidTr="005912DC">
        <w:trPr>
          <w:trHeight w:val="296"/>
        </w:trPr>
        <w:tc>
          <w:tcPr>
            <w:tcW w:w="2527" w:type="dxa"/>
            <w:tcBorders>
              <w:top w:val="nil"/>
              <w:left w:val="single" w:sz="4" w:space="0" w:color="000000"/>
              <w:bottom w:val="single" w:sz="4" w:space="0" w:color="000000"/>
              <w:right w:val="single" w:sz="4" w:space="0" w:color="000000"/>
            </w:tcBorders>
            <w:shd w:val="clear" w:color="000000" w:fill="95B3D7"/>
            <w:noWrap/>
            <w:vAlign w:val="bottom"/>
            <w:hideMark/>
          </w:tcPr>
          <w:p w:rsidR="005B74DB" w:rsidRPr="00574C09" w:rsidRDefault="00574C09" w:rsidP="005B74DB">
            <w:pPr>
              <w:spacing w:after="0" w:line="240" w:lineRule="auto"/>
              <w:rPr>
                <w:rFonts w:asciiTheme="minorHAnsi" w:eastAsia="Times New Roman" w:hAnsiTheme="minorHAnsi"/>
                <w:sz w:val="22"/>
                <w:lang w:val="nl-NL" w:eastAsia="en-GB"/>
              </w:rPr>
            </w:pPr>
            <w:r w:rsidRPr="00574C09">
              <w:rPr>
                <w:rFonts w:asciiTheme="minorHAnsi" w:eastAsia="Times New Roman" w:hAnsiTheme="minorHAnsi"/>
                <w:sz w:val="22"/>
                <w:lang w:eastAsia="en-GB"/>
              </w:rPr>
              <w:t>Ιαν</w:t>
            </w:r>
            <w:r w:rsidRPr="00574C09">
              <w:rPr>
                <w:rFonts w:asciiTheme="minorHAnsi" w:eastAsia="Times New Roman" w:hAnsiTheme="minorHAnsi"/>
                <w:sz w:val="22"/>
                <w:lang w:val="nl-NL" w:eastAsia="en-GB"/>
              </w:rPr>
              <w:t xml:space="preserve">.- </w:t>
            </w:r>
            <w:r w:rsidRPr="00574C09">
              <w:rPr>
                <w:rFonts w:asciiTheme="minorHAnsi" w:eastAsia="Times New Roman" w:hAnsiTheme="minorHAnsi"/>
                <w:sz w:val="22"/>
                <w:lang w:eastAsia="en-GB"/>
              </w:rPr>
              <w:t>Δεκ</w:t>
            </w:r>
            <w:r w:rsidRPr="00574C09">
              <w:rPr>
                <w:rFonts w:asciiTheme="minorHAnsi" w:eastAsia="Times New Roman" w:hAnsiTheme="minorHAnsi"/>
                <w:sz w:val="22"/>
                <w:lang w:val="nl-NL" w:eastAsia="en-GB"/>
              </w:rPr>
              <w:t>.</w:t>
            </w:r>
            <w:r w:rsidR="005B74DB" w:rsidRPr="00574C09">
              <w:rPr>
                <w:rFonts w:asciiTheme="minorHAnsi" w:eastAsia="Times New Roman" w:hAnsiTheme="minorHAnsi"/>
                <w:sz w:val="22"/>
                <w:lang w:val="nl-NL" w:eastAsia="en-GB"/>
              </w:rPr>
              <w:t>. 2011</w:t>
            </w:r>
          </w:p>
        </w:tc>
        <w:tc>
          <w:tcPr>
            <w:tcW w:w="2637" w:type="dxa"/>
            <w:tcBorders>
              <w:top w:val="nil"/>
              <w:left w:val="nil"/>
              <w:bottom w:val="single" w:sz="4" w:space="0" w:color="000000"/>
              <w:right w:val="single" w:sz="4" w:space="0" w:color="000000"/>
            </w:tcBorders>
            <w:shd w:val="clear" w:color="auto" w:fill="auto"/>
            <w:noWrap/>
            <w:vAlign w:val="bottom"/>
            <w:hideMark/>
          </w:tcPr>
          <w:p w:rsidR="005B74DB" w:rsidRPr="000555DC" w:rsidRDefault="005B74DB" w:rsidP="005B74DB">
            <w:pPr>
              <w:spacing w:after="0" w:line="240" w:lineRule="auto"/>
              <w:jc w:val="right"/>
              <w:rPr>
                <w:rFonts w:asciiTheme="minorHAnsi" w:eastAsia="Times New Roman" w:hAnsiTheme="minorHAnsi" w:cs="Arial"/>
                <w:sz w:val="20"/>
                <w:szCs w:val="20"/>
                <w:lang w:val="en-GB" w:eastAsia="en-GB"/>
              </w:rPr>
            </w:pPr>
            <w:r w:rsidRPr="00574C09">
              <w:rPr>
                <w:rFonts w:asciiTheme="minorHAnsi" w:eastAsia="Times New Roman" w:hAnsiTheme="minorHAnsi" w:cs="Arial"/>
                <w:sz w:val="20"/>
                <w:szCs w:val="20"/>
                <w:lang w:val="nl-NL" w:eastAsia="en-GB"/>
              </w:rPr>
              <w:t>2,49</w:t>
            </w:r>
            <w:r w:rsidRPr="000555DC">
              <w:rPr>
                <w:rFonts w:asciiTheme="minorHAnsi" w:eastAsia="Times New Roman" w:hAnsiTheme="minorHAnsi" w:cs="Arial"/>
                <w:sz w:val="20"/>
                <w:szCs w:val="20"/>
                <w:lang w:val="en-GB" w:eastAsia="en-GB"/>
              </w:rPr>
              <w:t>7,063,968</w:t>
            </w:r>
          </w:p>
        </w:tc>
        <w:tc>
          <w:tcPr>
            <w:tcW w:w="1926" w:type="dxa"/>
            <w:tcBorders>
              <w:top w:val="nil"/>
              <w:left w:val="nil"/>
              <w:bottom w:val="single" w:sz="4" w:space="0" w:color="000000"/>
              <w:right w:val="single" w:sz="4" w:space="0" w:color="000000"/>
            </w:tcBorders>
            <w:shd w:val="clear" w:color="auto" w:fill="auto"/>
            <w:noWrap/>
            <w:vAlign w:val="bottom"/>
            <w:hideMark/>
          </w:tcPr>
          <w:p w:rsidR="005B74DB" w:rsidRPr="000555DC" w:rsidRDefault="005B74DB" w:rsidP="005B74DB">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22,368,171,148</w:t>
            </w:r>
          </w:p>
        </w:tc>
        <w:tc>
          <w:tcPr>
            <w:tcW w:w="1926" w:type="dxa"/>
            <w:tcBorders>
              <w:top w:val="nil"/>
              <w:left w:val="nil"/>
              <w:bottom w:val="single" w:sz="4" w:space="0" w:color="000000"/>
              <w:right w:val="single" w:sz="4" w:space="0" w:color="000000"/>
            </w:tcBorders>
            <w:shd w:val="clear" w:color="auto" w:fill="auto"/>
            <w:noWrap/>
            <w:vAlign w:val="bottom"/>
            <w:hideMark/>
          </w:tcPr>
          <w:p w:rsidR="005B74DB" w:rsidRPr="000555DC" w:rsidRDefault="005B74DB" w:rsidP="005B74DB">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14,318,858,257</w:t>
            </w:r>
          </w:p>
        </w:tc>
      </w:tr>
      <w:tr w:rsidR="005B74DB" w:rsidRPr="000555DC" w:rsidTr="005912DC">
        <w:trPr>
          <w:trHeight w:val="296"/>
        </w:trPr>
        <w:tc>
          <w:tcPr>
            <w:tcW w:w="2527" w:type="dxa"/>
            <w:tcBorders>
              <w:top w:val="nil"/>
              <w:left w:val="single" w:sz="4" w:space="0" w:color="000000"/>
              <w:bottom w:val="single" w:sz="4" w:space="0" w:color="000000"/>
              <w:right w:val="single" w:sz="4" w:space="0" w:color="000000"/>
            </w:tcBorders>
            <w:shd w:val="clear" w:color="000000" w:fill="95B3D7"/>
            <w:noWrap/>
            <w:vAlign w:val="bottom"/>
            <w:hideMark/>
          </w:tcPr>
          <w:p w:rsidR="005B74DB" w:rsidRPr="00574C09" w:rsidRDefault="00574C09" w:rsidP="005B74DB">
            <w:pPr>
              <w:spacing w:after="0" w:line="240" w:lineRule="auto"/>
              <w:rPr>
                <w:rFonts w:asciiTheme="minorHAnsi" w:eastAsia="Times New Roman" w:hAnsiTheme="minorHAnsi"/>
                <w:sz w:val="22"/>
                <w:lang w:val="en-GB" w:eastAsia="en-GB"/>
              </w:rPr>
            </w:pPr>
            <w:r w:rsidRPr="00574C09">
              <w:rPr>
                <w:rFonts w:asciiTheme="minorHAnsi" w:eastAsia="Times New Roman" w:hAnsiTheme="minorHAnsi"/>
                <w:sz w:val="22"/>
                <w:lang w:eastAsia="en-GB"/>
              </w:rPr>
              <w:t>Ιαν</w:t>
            </w:r>
            <w:r w:rsidRPr="00574C09">
              <w:rPr>
                <w:rFonts w:asciiTheme="minorHAnsi" w:eastAsia="Times New Roman" w:hAnsiTheme="minorHAnsi"/>
                <w:sz w:val="22"/>
                <w:lang w:val="nl-NL" w:eastAsia="en-GB"/>
              </w:rPr>
              <w:t xml:space="preserve">.- </w:t>
            </w:r>
            <w:r w:rsidRPr="00574C09">
              <w:rPr>
                <w:rFonts w:asciiTheme="minorHAnsi" w:eastAsia="Times New Roman" w:hAnsiTheme="minorHAnsi"/>
                <w:sz w:val="22"/>
                <w:lang w:eastAsia="en-GB"/>
              </w:rPr>
              <w:t>Δεκ</w:t>
            </w:r>
            <w:r w:rsidRPr="00574C09">
              <w:rPr>
                <w:rFonts w:asciiTheme="minorHAnsi" w:eastAsia="Times New Roman" w:hAnsiTheme="minorHAnsi"/>
                <w:sz w:val="22"/>
                <w:lang w:val="nl-NL" w:eastAsia="en-GB"/>
              </w:rPr>
              <w:t>.</w:t>
            </w:r>
            <w:r w:rsidR="005B74DB" w:rsidRPr="00574C09">
              <w:rPr>
                <w:rFonts w:asciiTheme="minorHAnsi" w:eastAsia="Times New Roman" w:hAnsiTheme="minorHAnsi"/>
                <w:sz w:val="22"/>
                <w:lang w:val="en-GB" w:eastAsia="en-GB"/>
              </w:rPr>
              <w:t>. 2012</w:t>
            </w:r>
          </w:p>
        </w:tc>
        <w:tc>
          <w:tcPr>
            <w:tcW w:w="2637" w:type="dxa"/>
            <w:tcBorders>
              <w:top w:val="nil"/>
              <w:left w:val="nil"/>
              <w:bottom w:val="single" w:sz="4" w:space="0" w:color="000000"/>
              <w:right w:val="single" w:sz="4" w:space="0" w:color="000000"/>
            </w:tcBorders>
            <w:shd w:val="clear" w:color="auto" w:fill="auto"/>
            <w:noWrap/>
            <w:vAlign w:val="bottom"/>
            <w:hideMark/>
          </w:tcPr>
          <w:p w:rsidR="005B74DB" w:rsidRPr="000555DC" w:rsidRDefault="005B74DB" w:rsidP="005B74DB">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2,267,982,390</w:t>
            </w:r>
          </w:p>
        </w:tc>
        <w:tc>
          <w:tcPr>
            <w:tcW w:w="1926" w:type="dxa"/>
            <w:tcBorders>
              <w:top w:val="nil"/>
              <w:left w:val="nil"/>
              <w:bottom w:val="single" w:sz="4" w:space="0" w:color="000000"/>
              <w:right w:val="single" w:sz="4" w:space="0" w:color="000000"/>
            </w:tcBorders>
            <w:shd w:val="clear" w:color="auto" w:fill="auto"/>
            <w:noWrap/>
            <w:vAlign w:val="bottom"/>
            <w:hideMark/>
          </w:tcPr>
          <w:p w:rsidR="005B74DB" w:rsidRPr="000555DC" w:rsidRDefault="005B74DB" w:rsidP="005B74DB">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22,442,540,240</w:t>
            </w:r>
          </w:p>
        </w:tc>
        <w:tc>
          <w:tcPr>
            <w:tcW w:w="1926" w:type="dxa"/>
            <w:tcBorders>
              <w:top w:val="nil"/>
              <w:left w:val="nil"/>
              <w:bottom w:val="single" w:sz="4" w:space="0" w:color="000000"/>
              <w:right w:val="single" w:sz="4" w:space="0" w:color="000000"/>
            </w:tcBorders>
            <w:shd w:val="clear" w:color="auto" w:fill="auto"/>
            <w:noWrap/>
            <w:vAlign w:val="bottom"/>
            <w:hideMark/>
          </w:tcPr>
          <w:p w:rsidR="005B74DB" w:rsidRPr="000555DC" w:rsidRDefault="005B74DB" w:rsidP="005B74DB">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13,872,646,143</w:t>
            </w:r>
          </w:p>
        </w:tc>
      </w:tr>
      <w:tr w:rsidR="005B74DB" w:rsidRPr="000555DC" w:rsidTr="005912DC">
        <w:trPr>
          <w:trHeight w:val="296"/>
        </w:trPr>
        <w:tc>
          <w:tcPr>
            <w:tcW w:w="2527" w:type="dxa"/>
            <w:tcBorders>
              <w:top w:val="nil"/>
              <w:left w:val="single" w:sz="4" w:space="0" w:color="000000"/>
              <w:bottom w:val="single" w:sz="4" w:space="0" w:color="000000"/>
              <w:right w:val="single" w:sz="4" w:space="0" w:color="000000"/>
            </w:tcBorders>
            <w:shd w:val="clear" w:color="000000" w:fill="95B3D7"/>
            <w:noWrap/>
            <w:vAlign w:val="bottom"/>
            <w:hideMark/>
          </w:tcPr>
          <w:p w:rsidR="005B74DB" w:rsidRPr="00574C09" w:rsidRDefault="00574C09" w:rsidP="005B74DB">
            <w:pPr>
              <w:spacing w:after="0" w:line="240" w:lineRule="auto"/>
              <w:rPr>
                <w:rFonts w:asciiTheme="minorHAnsi" w:eastAsia="Times New Roman" w:hAnsiTheme="minorHAnsi"/>
                <w:sz w:val="22"/>
                <w:lang w:val="en-GB" w:eastAsia="en-GB"/>
              </w:rPr>
            </w:pPr>
            <w:r w:rsidRPr="00574C09">
              <w:rPr>
                <w:rFonts w:asciiTheme="minorHAnsi" w:eastAsia="Times New Roman" w:hAnsiTheme="minorHAnsi"/>
                <w:sz w:val="22"/>
                <w:lang w:eastAsia="en-GB"/>
              </w:rPr>
              <w:t>Ιαν</w:t>
            </w:r>
            <w:r w:rsidRPr="00574C09">
              <w:rPr>
                <w:rFonts w:asciiTheme="minorHAnsi" w:eastAsia="Times New Roman" w:hAnsiTheme="minorHAnsi"/>
                <w:sz w:val="22"/>
                <w:lang w:val="nl-NL" w:eastAsia="en-GB"/>
              </w:rPr>
              <w:t xml:space="preserve">.- </w:t>
            </w:r>
            <w:r w:rsidRPr="00574C09">
              <w:rPr>
                <w:rFonts w:asciiTheme="minorHAnsi" w:eastAsia="Times New Roman" w:hAnsiTheme="minorHAnsi"/>
                <w:sz w:val="22"/>
                <w:lang w:eastAsia="en-GB"/>
              </w:rPr>
              <w:t>Δεκ</w:t>
            </w:r>
            <w:r w:rsidRPr="00574C09">
              <w:rPr>
                <w:rFonts w:asciiTheme="minorHAnsi" w:eastAsia="Times New Roman" w:hAnsiTheme="minorHAnsi"/>
                <w:sz w:val="22"/>
                <w:lang w:val="nl-NL" w:eastAsia="en-GB"/>
              </w:rPr>
              <w:t>.</w:t>
            </w:r>
            <w:r w:rsidR="005B74DB" w:rsidRPr="00574C09">
              <w:rPr>
                <w:rFonts w:asciiTheme="minorHAnsi" w:eastAsia="Times New Roman" w:hAnsiTheme="minorHAnsi"/>
                <w:sz w:val="22"/>
                <w:lang w:val="en-GB" w:eastAsia="en-GB"/>
              </w:rPr>
              <w:t>. 2013</w:t>
            </w:r>
          </w:p>
        </w:tc>
        <w:tc>
          <w:tcPr>
            <w:tcW w:w="2637" w:type="dxa"/>
            <w:tcBorders>
              <w:top w:val="nil"/>
              <w:left w:val="nil"/>
              <w:bottom w:val="single" w:sz="4" w:space="0" w:color="000000"/>
              <w:right w:val="single" w:sz="4" w:space="0" w:color="000000"/>
            </w:tcBorders>
            <w:shd w:val="clear" w:color="auto" w:fill="auto"/>
            <w:noWrap/>
            <w:vAlign w:val="bottom"/>
            <w:hideMark/>
          </w:tcPr>
          <w:p w:rsidR="005B74DB" w:rsidRPr="000555DC" w:rsidRDefault="005B74DB" w:rsidP="005B74DB">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2,354,944,513</w:t>
            </w:r>
          </w:p>
        </w:tc>
        <w:tc>
          <w:tcPr>
            <w:tcW w:w="1926" w:type="dxa"/>
            <w:tcBorders>
              <w:top w:val="nil"/>
              <w:left w:val="nil"/>
              <w:bottom w:val="single" w:sz="4" w:space="0" w:color="000000"/>
              <w:right w:val="single" w:sz="4" w:space="0" w:color="000000"/>
            </w:tcBorders>
            <w:shd w:val="clear" w:color="auto" w:fill="auto"/>
            <w:noWrap/>
            <w:vAlign w:val="bottom"/>
            <w:hideMark/>
          </w:tcPr>
          <w:p w:rsidR="005B74DB" w:rsidRPr="000555DC" w:rsidRDefault="005B74DB" w:rsidP="005B74DB">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22,391,755,045</w:t>
            </w:r>
          </w:p>
        </w:tc>
        <w:tc>
          <w:tcPr>
            <w:tcW w:w="1926" w:type="dxa"/>
            <w:tcBorders>
              <w:top w:val="nil"/>
              <w:left w:val="nil"/>
              <w:bottom w:val="single" w:sz="4" w:space="0" w:color="000000"/>
              <w:right w:val="single" w:sz="4" w:space="0" w:color="000000"/>
            </w:tcBorders>
            <w:shd w:val="clear" w:color="auto" w:fill="auto"/>
            <w:noWrap/>
            <w:vAlign w:val="bottom"/>
            <w:hideMark/>
          </w:tcPr>
          <w:p w:rsidR="005B74DB" w:rsidRPr="000555DC" w:rsidRDefault="005B74DB" w:rsidP="005B74DB">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13,368,194,847</w:t>
            </w:r>
          </w:p>
        </w:tc>
      </w:tr>
      <w:tr w:rsidR="005B74DB" w:rsidRPr="000555DC" w:rsidTr="005912DC">
        <w:trPr>
          <w:trHeight w:val="296"/>
        </w:trPr>
        <w:tc>
          <w:tcPr>
            <w:tcW w:w="2527" w:type="dxa"/>
            <w:tcBorders>
              <w:top w:val="nil"/>
              <w:left w:val="single" w:sz="4" w:space="0" w:color="000000"/>
              <w:bottom w:val="nil"/>
              <w:right w:val="single" w:sz="4" w:space="0" w:color="000000"/>
            </w:tcBorders>
            <w:shd w:val="clear" w:color="000000" w:fill="95B3D7"/>
            <w:noWrap/>
            <w:vAlign w:val="bottom"/>
            <w:hideMark/>
          </w:tcPr>
          <w:p w:rsidR="005B74DB" w:rsidRPr="00574C09" w:rsidRDefault="00574C09" w:rsidP="005B74DB">
            <w:pPr>
              <w:spacing w:after="0" w:line="240" w:lineRule="auto"/>
              <w:rPr>
                <w:rFonts w:asciiTheme="minorHAnsi" w:eastAsia="Times New Roman" w:hAnsiTheme="minorHAnsi"/>
                <w:sz w:val="22"/>
                <w:lang w:val="en-GB" w:eastAsia="en-GB"/>
              </w:rPr>
            </w:pPr>
            <w:r w:rsidRPr="00574C09">
              <w:rPr>
                <w:rFonts w:asciiTheme="minorHAnsi" w:eastAsia="Times New Roman" w:hAnsiTheme="minorHAnsi"/>
                <w:sz w:val="22"/>
                <w:lang w:eastAsia="en-GB"/>
              </w:rPr>
              <w:t>Ιαν</w:t>
            </w:r>
            <w:r w:rsidRPr="00574C09">
              <w:rPr>
                <w:rFonts w:asciiTheme="minorHAnsi" w:eastAsia="Times New Roman" w:hAnsiTheme="minorHAnsi"/>
                <w:sz w:val="22"/>
                <w:lang w:val="nl-NL" w:eastAsia="en-GB"/>
              </w:rPr>
              <w:t xml:space="preserve">.- </w:t>
            </w:r>
            <w:r w:rsidRPr="00574C09">
              <w:rPr>
                <w:rFonts w:asciiTheme="minorHAnsi" w:eastAsia="Times New Roman" w:hAnsiTheme="minorHAnsi"/>
                <w:sz w:val="22"/>
                <w:lang w:eastAsia="en-GB"/>
              </w:rPr>
              <w:t>Δεκ</w:t>
            </w:r>
            <w:r w:rsidRPr="00574C09">
              <w:rPr>
                <w:rFonts w:asciiTheme="minorHAnsi" w:eastAsia="Times New Roman" w:hAnsiTheme="minorHAnsi"/>
                <w:sz w:val="22"/>
                <w:lang w:val="nl-NL" w:eastAsia="en-GB"/>
              </w:rPr>
              <w:t xml:space="preserve">. </w:t>
            </w:r>
            <w:r w:rsidR="005B74DB" w:rsidRPr="00574C09">
              <w:rPr>
                <w:rFonts w:asciiTheme="minorHAnsi" w:eastAsia="Times New Roman" w:hAnsiTheme="minorHAnsi"/>
                <w:sz w:val="22"/>
                <w:lang w:val="en-GB" w:eastAsia="en-GB"/>
              </w:rPr>
              <w:t>2014</w:t>
            </w:r>
          </w:p>
        </w:tc>
        <w:tc>
          <w:tcPr>
            <w:tcW w:w="2637" w:type="dxa"/>
            <w:tcBorders>
              <w:top w:val="nil"/>
              <w:left w:val="nil"/>
              <w:bottom w:val="nil"/>
              <w:right w:val="single" w:sz="4" w:space="0" w:color="000000"/>
            </w:tcBorders>
            <w:shd w:val="clear" w:color="auto" w:fill="auto"/>
            <w:noWrap/>
            <w:vAlign w:val="bottom"/>
            <w:hideMark/>
          </w:tcPr>
          <w:p w:rsidR="005B74DB" w:rsidRPr="000555DC" w:rsidRDefault="005B74DB" w:rsidP="005B74DB">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2,481,350,845</w:t>
            </w:r>
          </w:p>
        </w:tc>
        <w:tc>
          <w:tcPr>
            <w:tcW w:w="1926" w:type="dxa"/>
            <w:tcBorders>
              <w:top w:val="nil"/>
              <w:left w:val="nil"/>
              <w:bottom w:val="nil"/>
              <w:right w:val="single" w:sz="4" w:space="0" w:color="000000"/>
            </w:tcBorders>
            <w:shd w:val="clear" w:color="auto" w:fill="auto"/>
            <w:noWrap/>
            <w:vAlign w:val="bottom"/>
            <w:hideMark/>
          </w:tcPr>
          <w:p w:rsidR="005B74DB" w:rsidRPr="000555DC" w:rsidRDefault="005B74DB" w:rsidP="005B74DB">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21,326,025,733</w:t>
            </w:r>
          </w:p>
        </w:tc>
        <w:tc>
          <w:tcPr>
            <w:tcW w:w="1926" w:type="dxa"/>
            <w:tcBorders>
              <w:top w:val="nil"/>
              <w:left w:val="nil"/>
              <w:bottom w:val="nil"/>
              <w:right w:val="single" w:sz="4" w:space="0" w:color="000000"/>
            </w:tcBorders>
            <w:shd w:val="clear" w:color="auto" w:fill="auto"/>
            <w:noWrap/>
            <w:vAlign w:val="bottom"/>
            <w:hideMark/>
          </w:tcPr>
          <w:p w:rsidR="005B74DB" w:rsidRPr="000555DC" w:rsidRDefault="005B74DB" w:rsidP="005B74DB">
            <w:pPr>
              <w:spacing w:after="0" w:line="240" w:lineRule="auto"/>
              <w:jc w:val="right"/>
              <w:rPr>
                <w:rFonts w:asciiTheme="minorHAnsi" w:eastAsia="Times New Roman" w:hAnsiTheme="minorHAnsi" w:cs="Arial"/>
                <w:sz w:val="20"/>
                <w:szCs w:val="20"/>
                <w:lang w:eastAsia="en-GB"/>
              </w:rPr>
            </w:pPr>
            <w:r w:rsidRPr="000555DC">
              <w:rPr>
                <w:rFonts w:asciiTheme="minorHAnsi" w:eastAsia="Times New Roman" w:hAnsiTheme="minorHAnsi" w:cs="Arial"/>
                <w:sz w:val="20"/>
                <w:szCs w:val="20"/>
                <w:lang w:val="en-GB" w:eastAsia="en-GB"/>
              </w:rPr>
              <w:t>14,327,557,719</w:t>
            </w:r>
          </w:p>
        </w:tc>
      </w:tr>
      <w:tr w:rsidR="005B74DB" w:rsidRPr="000555DC" w:rsidTr="005912DC">
        <w:trPr>
          <w:trHeight w:val="65"/>
        </w:trPr>
        <w:tc>
          <w:tcPr>
            <w:tcW w:w="2527" w:type="dxa"/>
            <w:tcBorders>
              <w:top w:val="nil"/>
              <w:left w:val="single" w:sz="4" w:space="0" w:color="000000"/>
              <w:bottom w:val="single" w:sz="4" w:space="0" w:color="000000"/>
              <w:right w:val="single" w:sz="4" w:space="0" w:color="000000"/>
            </w:tcBorders>
            <w:shd w:val="clear" w:color="000000" w:fill="95B3D7"/>
            <w:noWrap/>
            <w:vAlign w:val="bottom"/>
          </w:tcPr>
          <w:p w:rsidR="005B74DB" w:rsidRPr="000555DC" w:rsidRDefault="005B74DB" w:rsidP="005B74DB">
            <w:pPr>
              <w:spacing w:after="0" w:line="240" w:lineRule="auto"/>
              <w:rPr>
                <w:rFonts w:asciiTheme="minorHAnsi" w:eastAsia="Times New Roman" w:hAnsiTheme="minorHAnsi"/>
                <w:color w:val="FFFFFF"/>
                <w:sz w:val="22"/>
                <w:lang w:eastAsia="en-GB"/>
              </w:rPr>
            </w:pPr>
          </w:p>
        </w:tc>
        <w:tc>
          <w:tcPr>
            <w:tcW w:w="2637" w:type="dxa"/>
            <w:tcBorders>
              <w:top w:val="nil"/>
              <w:left w:val="nil"/>
              <w:bottom w:val="single" w:sz="4" w:space="0" w:color="000000"/>
              <w:right w:val="single" w:sz="4" w:space="0" w:color="000000"/>
            </w:tcBorders>
            <w:shd w:val="clear" w:color="auto" w:fill="auto"/>
            <w:noWrap/>
            <w:vAlign w:val="bottom"/>
          </w:tcPr>
          <w:p w:rsidR="005B74DB" w:rsidRPr="000555DC" w:rsidRDefault="005B74DB" w:rsidP="005B74DB">
            <w:pPr>
              <w:spacing w:after="0" w:line="240" w:lineRule="auto"/>
              <w:rPr>
                <w:rFonts w:asciiTheme="minorHAnsi" w:eastAsia="Times New Roman" w:hAnsiTheme="minorHAnsi" w:cs="Arial"/>
                <w:sz w:val="20"/>
                <w:szCs w:val="20"/>
                <w:lang w:eastAsia="en-GB"/>
              </w:rPr>
            </w:pPr>
          </w:p>
        </w:tc>
        <w:tc>
          <w:tcPr>
            <w:tcW w:w="1926" w:type="dxa"/>
            <w:tcBorders>
              <w:top w:val="nil"/>
              <w:left w:val="nil"/>
              <w:bottom w:val="single" w:sz="4" w:space="0" w:color="000000"/>
              <w:right w:val="single" w:sz="4" w:space="0" w:color="000000"/>
            </w:tcBorders>
            <w:shd w:val="clear" w:color="auto" w:fill="auto"/>
            <w:noWrap/>
            <w:vAlign w:val="bottom"/>
          </w:tcPr>
          <w:p w:rsidR="005B74DB" w:rsidRPr="000555DC" w:rsidRDefault="005B74DB" w:rsidP="005B74DB">
            <w:pPr>
              <w:spacing w:after="0" w:line="240" w:lineRule="auto"/>
              <w:jc w:val="right"/>
              <w:rPr>
                <w:rFonts w:asciiTheme="minorHAnsi" w:eastAsia="Times New Roman" w:hAnsiTheme="minorHAnsi" w:cs="Arial"/>
                <w:sz w:val="20"/>
                <w:szCs w:val="20"/>
                <w:lang w:val="en-GB" w:eastAsia="en-GB"/>
              </w:rPr>
            </w:pPr>
          </w:p>
        </w:tc>
        <w:tc>
          <w:tcPr>
            <w:tcW w:w="1926" w:type="dxa"/>
            <w:tcBorders>
              <w:top w:val="nil"/>
              <w:left w:val="nil"/>
              <w:bottom w:val="single" w:sz="4" w:space="0" w:color="000000"/>
              <w:right w:val="single" w:sz="4" w:space="0" w:color="000000"/>
            </w:tcBorders>
            <w:shd w:val="clear" w:color="auto" w:fill="auto"/>
            <w:noWrap/>
            <w:vAlign w:val="bottom"/>
          </w:tcPr>
          <w:p w:rsidR="005B74DB" w:rsidRPr="000555DC" w:rsidRDefault="005B74DB" w:rsidP="005B74DB">
            <w:pPr>
              <w:spacing w:after="0" w:line="240" w:lineRule="auto"/>
              <w:rPr>
                <w:rFonts w:asciiTheme="minorHAnsi" w:eastAsia="Times New Roman" w:hAnsiTheme="minorHAnsi" w:cs="Arial"/>
                <w:sz w:val="20"/>
                <w:szCs w:val="20"/>
                <w:lang w:eastAsia="en-GB"/>
              </w:rPr>
            </w:pPr>
          </w:p>
        </w:tc>
      </w:tr>
    </w:tbl>
    <w:p w:rsidR="005B74DB" w:rsidRPr="000555DC" w:rsidRDefault="005B74DB" w:rsidP="00FE3B04">
      <w:pPr>
        <w:jc w:val="both"/>
        <w:rPr>
          <w:rFonts w:asciiTheme="minorHAnsi" w:hAnsiTheme="minorHAnsi"/>
          <w:szCs w:val="24"/>
        </w:rPr>
      </w:pPr>
    </w:p>
    <w:p w:rsidR="00084D9D" w:rsidRPr="000555DC" w:rsidRDefault="00084D9D" w:rsidP="00FE3B04">
      <w:pPr>
        <w:jc w:val="both"/>
        <w:rPr>
          <w:rFonts w:asciiTheme="minorHAnsi" w:hAnsiTheme="minorHAnsi"/>
          <w:szCs w:val="24"/>
        </w:rPr>
      </w:pPr>
      <w:r w:rsidRPr="000555DC">
        <w:rPr>
          <w:rFonts w:asciiTheme="minorHAnsi" w:hAnsiTheme="minorHAnsi"/>
          <w:noProof/>
          <w:lang w:eastAsia="el-GR"/>
        </w:rPr>
        <w:drawing>
          <wp:inline distT="0" distB="0" distL="0" distR="0" wp14:anchorId="6C6D754C" wp14:editId="3E39E1BD">
            <wp:extent cx="5720487" cy="2494483"/>
            <wp:effectExtent l="0" t="0" r="13970" b="2032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bl>
      <w:tblPr>
        <w:tblW w:w="9017" w:type="dxa"/>
        <w:tblInd w:w="93" w:type="dxa"/>
        <w:tblLook w:val="04A0" w:firstRow="1" w:lastRow="0" w:firstColumn="1" w:lastColumn="0" w:noHBand="0" w:noVBand="1"/>
      </w:tblPr>
      <w:tblGrid>
        <w:gridCol w:w="2546"/>
        <w:gridCol w:w="2629"/>
        <w:gridCol w:w="1921"/>
        <w:gridCol w:w="1921"/>
      </w:tblGrid>
      <w:tr w:rsidR="005B74DB" w:rsidRPr="000555DC" w:rsidTr="005912DC">
        <w:trPr>
          <w:trHeight w:val="272"/>
        </w:trPr>
        <w:tc>
          <w:tcPr>
            <w:tcW w:w="2546" w:type="dxa"/>
            <w:tcBorders>
              <w:top w:val="single" w:sz="4" w:space="0" w:color="000000"/>
              <w:left w:val="single" w:sz="4" w:space="0" w:color="000000"/>
              <w:bottom w:val="single" w:sz="4" w:space="0" w:color="000000"/>
              <w:right w:val="single" w:sz="4" w:space="0" w:color="000000"/>
            </w:tcBorders>
            <w:shd w:val="clear" w:color="000000" w:fill="95B3D7"/>
            <w:noWrap/>
            <w:vAlign w:val="bottom"/>
            <w:hideMark/>
          </w:tcPr>
          <w:p w:rsidR="005B74DB" w:rsidRPr="000555DC" w:rsidRDefault="005B74DB" w:rsidP="005B74DB">
            <w:pPr>
              <w:spacing w:after="0" w:line="240" w:lineRule="auto"/>
              <w:rPr>
                <w:rFonts w:asciiTheme="minorHAnsi" w:eastAsia="Times New Roman" w:hAnsiTheme="minorHAnsi"/>
                <w:color w:val="FFFFFF"/>
                <w:sz w:val="22"/>
                <w:lang w:val="en-GB" w:eastAsia="en-GB"/>
              </w:rPr>
            </w:pPr>
            <w:proofErr w:type="spellStart"/>
            <w:r w:rsidRPr="000555DC">
              <w:rPr>
                <w:rFonts w:asciiTheme="minorHAnsi" w:eastAsia="Times New Roman" w:hAnsiTheme="minorHAnsi"/>
                <w:color w:val="FFFFFF"/>
                <w:sz w:val="22"/>
                <w:lang w:val="en-GB" w:eastAsia="en-GB"/>
              </w:rPr>
              <w:t>Περίοδος</w:t>
            </w:r>
            <w:proofErr w:type="spellEnd"/>
            <w:r w:rsidRPr="000555DC">
              <w:rPr>
                <w:rFonts w:asciiTheme="minorHAnsi" w:eastAsia="Times New Roman" w:hAnsiTheme="minorHAnsi"/>
                <w:color w:val="FFFFFF"/>
                <w:sz w:val="22"/>
                <w:lang w:val="en-GB" w:eastAsia="en-GB"/>
              </w:rPr>
              <w:t>/</w:t>
            </w:r>
            <w:proofErr w:type="spellStart"/>
            <w:r w:rsidRPr="000555DC">
              <w:rPr>
                <w:rFonts w:asciiTheme="minorHAnsi" w:eastAsia="Times New Roman" w:hAnsiTheme="minorHAnsi"/>
                <w:color w:val="FFFFFF"/>
                <w:sz w:val="22"/>
                <w:lang w:val="en-GB" w:eastAsia="en-GB"/>
              </w:rPr>
              <w:t>Εξ</w:t>
            </w:r>
            <w:proofErr w:type="spellEnd"/>
            <w:r w:rsidRPr="000555DC">
              <w:rPr>
                <w:rFonts w:asciiTheme="minorHAnsi" w:eastAsia="Times New Roman" w:hAnsiTheme="minorHAnsi"/>
                <w:color w:val="FFFFFF"/>
                <w:sz w:val="22"/>
                <w:lang w:val="en-GB" w:eastAsia="en-GB"/>
              </w:rPr>
              <w:t>αγωγέας</w:t>
            </w:r>
          </w:p>
        </w:tc>
        <w:tc>
          <w:tcPr>
            <w:tcW w:w="2629" w:type="dxa"/>
            <w:tcBorders>
              <w:top w:val="nil"/>
              <w:left w:val="nil"/>
              <w:bottom w:val="nil"/>
              <w:right w:val="nil"/>
            </w:tcBorders>
            <w:shd w:val="clear" w:color="000000" w:fill="95B3D7"/>
            <w:noWrap/>
            <w:vAlign w:val="bottom"/>
            <w:hideMark/>
          </w:tcPr>
          <w:p w:rsidR="005B74DB" w:rsidRPr="000555DC" w:rsidRDefault="005B74DB" w:rsidP="009B0A72">
            <w:pPr>
              <w:spacing w:after="0" w:line="240" w:lineRule="auto"/>
              <w:jc w:val="center"/>
              <w:rPr>
                <w:rFonts w:asciiTheme="minorHAnsi" w:eastAsia="Times New Roman" w:hAnsiTheme="minorHAnsi"/>
                <w:color w:val="FFFFFF"/>
                <w:sz w:val="22"/>
                <w:lang w:val="en-GB" w:eastAsia="en-GB"/>
              </w:rPr>
            </w:pPr>
            <w:proofErr w:type="spellStart"/>
            <w:r w:rsidRPr="000555DC">
              <w:rPr>
                <w:rFonts w:asciiTheme="minorHAnsi" w:eastAsia="Times New Roman" w:hAnsiTheme="minorHAnsi"/>
                <w:color w:val="FFFFFF"/>
                <w:sz w:val="22"/>
                <w:lang w:val="en-GB" w:eastAsia="en-GB"/>
              </w:rPr>
              <w:t>Ελλάδ</w:t>
            </w:r>
            <w:proofErr w:type="spellEnd"/>
            <w:r w:rsidRPr="000555DC">
              <w:rPr>
                <w:rFonts w:asciiTheme="minorHAnsi" w:eastAsia="Times New Roman" w:hAnsiTheme="minorHAnsi"/>
                <w:color w:val="FFFFFF"/>
                <w:sz w:val="22"/>
                <w:lang w:val="en-GB" w:eastAsia="en-GB"/>
              </w:rPr>
              <w:t>α</w:t>
            </w:r>
          </w:p>
        </w:tc>
        <w:tc>
          <w:tcPr>
            <w:tcW w:w="1921" w:type="dxa"/>
            <w:tcBorders>
              <w:top w:val="nil"/>
              <w:left w:val="nil"/>
              <w:bottom w:val="nil"/>
              <w:right w:val="nil"/>
            </w:tcBorders>
            <w:shd w:val="clear" w:color="000000" w:fill="95B3D7"/>
            <w:noWrap/>
            <w:vAlign w:val="bottom"/>
            <w:hideMark/>
          </w:tcPr>
          <w:p w:rsidR="005B74DB" w:rsidRPr="000555DC" w:rsidRDefault="005B74DB" w:rsidP="009B0A72">
            <w:pPr>
              <w:spacing w:after="0" w:line="240" w:lineRule="auto"/>
              <w:jc w:val="center"/>
              <w:rPr>
                <w:rFonts w:asciiTheme="minorHAnsi" w:eastAsia="Times New Roman" w:hAnsiTheme="minorHAnsi"/>
                <w:color w:val="FFFFFF"/>
                <w:sz w:val="22"/>
                <w:lang w:val="en-GB" w:eastAsia="en-GB"/>
              </w:rPr>
            </w:pPr>
            <w:proofErr w:type="spellStart"/>
            <w:r w:rsidRPr="000555DC">
              <w:rPr>
                <w:rFonts w:asciiTheme="minorHAnsi" w:eastAsia="Times New Roman" w:hAnsiTheme="minorHAnsi"/>
                <w:color w:val="FFFFFF"/>
                <w:sz w:val="22"/>
                <w:lang w:val="en-GB" w:eastAsia="en-GB"/>
              </w:rPr>
              <w:t>Ιτ</w:t>
            </w:r>
            <w:proofErr w:type="spellEnd"/>
            <w:r w:rsidRPr="000555DC">
              <w:rPr>
                <w:rFonts w:asciiTheme="minorHAnsi" w:eastAsia="Times New Roman" w:hAnsiTheme="minorHAnsi"/>
                <w:color w:val="FFFFFF"/>
                <w:sz w:val="22"/>
                <w:lang w:val="en-GB" w:eastAsia="en-GB"/>
              </w:rPr>
              <w:t>αλία</w:t>
            </w:r>
          </w:p>
        </w:tc>
        <w:tc>
          <w:tcPr>
            <w:tcW w:w="1921" w:type="dxa"/>
            <w:tcBorders>
              <w:top w:val="nil"/>
              <w:left w:val="nil"/>
              <w:bottom w:val="nil"/>
              <w:right w:val="nil"/>
            </w:tcBorders>
            <w:shd w:val="clear" w:color="000000" w:fill="95B3D7"/>
            <w:noWrap/>
            <w:vAlign w:val="bottom"/>
            <w:hideMark/>
          </w:tcPr>
          <w:p w:rsidR="005B74DB" w:rsidRPr="000555DC" w:rsidRDefault="005B74DB" w:rsidP="009B0A72">
            <w:pPr>
              <w:spacing w:after="0" w:line="240" w:lineRule="auto"/>
              <w:jc w:val="center"/>
              <w:rPr>
                <w:rFonts w:asciiTheme="minorHAnsi" w:eastAsia="Times New Roman" w:hAnsiTheme="minorHAnsi"/>
                <w:color w:val="FFFFFF"/>
                <w:sz w:val="22"/>
                <w:lang w:val="en-GB" w:eastAsia="en-GB"/>
              </w:rPr>
            </w:pPr>
            <w:proofErr w:type="spellStart"/>
            <w:r w:rsidRPr="000555DC">
              <w:rPr>
                <w:rFonts w:asciiTheme="minorHAnsi" w:eastAsia="Times New Roman" w:hAnsiTheme="minorHAnsi"/>
                <w:color w:val="FFFFFF"/>
                <w:sz w:val="22"/>
                <w:lang w:val="en-GB" w:eastAsia="en-GB"/>
              </w:rPr>
              <w:t>Ισ</w:t>
            </w:r>
            <w:proofErr w:type="spellEnd"/>
            <w:r w:rsidRPr="000555DC">
              <w:rPr>
                <w:rFonts w:asciiTheme="minorHAnsi" w:eastAsia="Times New Roman" w:hAnsiTheme="minorHAnsi"/>
                <w:color w:val="FFFFFF"/>
                <w:sz w:val="22"/>
                <w:lang w:val="en-GB" w:eastAsia="en-GB"/>
              </w:rPr>
              <w:t>πανία</w:t>
            </w:r>
          </w:p>
        </w:tc>
      </w:tr>
      <w:tr w:rsidR="005B74DB" w:rsidRPr="000555DC" w:rsidTr="005912DC">
        <w:trPr>
          <w:trHeight w:val="272"/>
        </w:trPr>
        <w:tc>
          <w:tcPr>
            <w:tcW w:w="2546" w:type="dxa"/>
            <w:tcBorders>
              <w:top w:val="nil"/>
              <w:left w:val="single" w:sz="4" w:space="0" w:color="000000"/>
              <w:bottom w:val="single" w:sz="4" w:space="0" w:color="000000"/>
              <w:right w:val="single" w:sz="4" w:space="0" w:color="000000"/>
            </w:tcBorders>
            <w:shd w:val="clear" w:color="000000" w:fill="99CCFF"/>
            <w:noWrap/>
            <w:vAlign w:val="bottom"/>
            <w:hideMark/>
          </w:tcPr>
          <w:p w:rsidR="005B74DB" w:rsidRPr="00574C09" w:rsidRDefault="00574C09" w:rsidP="005B74DB">
            <w:pPr>
              <w:spacing w:after="0" w:line="240" w:lineRule="auto"/>
              <w:rPr>
                <w:rFonts w:asciiTheme="minorHAnsi" w:eastAsia="Times New Roman" w:hAnsiTheme="minorHAnsi" w:cs="Arial"/>
                <w:sz w:val="20"/>
                <w:szCs w:val="20"/>
                <w:lang w:val="en-GB" w:eastAsia="en-GB"/>
              </w:rPr>
            </w:pPr>
            <w:r w:rsidRPr="00574C09">
              <w:rPr>
                <w:rFonts w:asciiTheme="minorHAnsi" w:eastAsia="Times New Roman" w:hAnsiTheme="minorHAnsi"/>
                <w:sz w:val="22"/>
                <w:lang w:eastAsia="en-GB"/>
              </w:rPr>
              <w:t>Ιαν</w:t>
            </w:r>
            <w:r w:rsidRPr="00574C09">
              <w:rPr>
                <w:rFonts w:asciiTheme="minorHAnsi" w:eastAsia="Times New Roman" w:hAnsiTheme="minorHAnsi"/>
                <w:sz w:val="22"/>
                <w:lang w:val="nl-NL" w:eastAsia="en-GB"/>
              </w:rPr>
              <w:t xml:space="preserve">.- </w:t>
            </w:r>
            <w:r w:rsidRPr="00574C09">
              <w:rPr>
                <w:rFonts w:asciiTheme="minorHAnsi" w:eastAsia="Times New Roman" w:hAnsiTheme="minorHAnsi"/>
                <w:sz w:val="22"/>
                <w:lang w:eastAsia="en-GB"/>
              </w:rPr>
              <w:t>Δεκ</w:t>
            </w:r>
            <w:r w:rsidRPr="00574C09">
              <w:rPr>
                <w:rFonts w:asciiTheme="minorHAnsi" w:eastAsia="Times New Roman" w:hAnsiTheme="minorHAnsi"/>
                <w:sz w:val="22"/>
                <w:lang w:val="nl-NL" w:eastAsia="en-GB"/>
              </w:rPr>
              <w:t xml:space="preserve">. </w:t>
            </w:r>
            <w:r w:rsidR="005B74DB" w:rsidRPr="00574C09">
              <w:rPr>
                <w:rFonts w:asciiTheme="minorHAnsi" w:eastAsia="Times New Roman" w:hAnsiTheme="minorHAnsi" w:cs="Arial"/>
                <w:sz w:val="20"/>
                <w:szCs w:val="20"/>
                <w:lang w:val="en-GB" w:eastAsia="en-GB"/>
              </w:rPr>
              <w:t>2009</w:t>
            </w:r>
          </w:p>
        </w:tc>
        <w:tc>
          <w:tcPr>
            <w:tcW w:w="2629" w:type="dxa"/>
            <w:tcBorders>
              <w:top w:val="single" w:sz="4" w:space="0" w:color="000000"/>
              <w:left w:val="nil"/>
              <w:bottom w:val="single" w:sz="4" w:space="0" w:color="000000"/>
              <w:right w:val="single" w:sz="4" w:space="0" w:color="000000"/>
            </w:tcBorders>
            <w:shd w:val="clear" w:color="auto" w:fill="auto"/>
            <w:noWrap/>
            <w:vAlign w:val="bottom"/>
            <w:hideMark/>
          </w:tcPr>
          <w:p w:rsidR="005B74DB" w:rsidRPr="000555DC" w:rsidRDefault="005B74DB" w:rsidP="005B74DB">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10,849,300</w:t>
            </w:r>
          </w:p>
        </w:tc>
        <w:tc>
          <w:tcPr>
            <w:tcW w:w="1921" w:type="dxa"/>
            <w:tcBorders>
              <w:top w:val="single" w:sz="4" w:space="0" w:color="000000"/>
              <w:left w:val="nil"/>
              <w:bottom w:val="single" w:sz="4" w:space="0" w:color="000000"/>
              <w:right w:val="single" w:sz="4" w:space="0" w:color="000000"/>
            </w:tcBorders>
            <w:shd w:val="clear" w:color="auto" w:fill="auto"/>
            <w:noWrap/>
            <w:vAlign w:val="bottom"/>
            <w:hideMark/>
          </w:tcPr>
          <w:p w:rsidR="005B74DB" w:rsidRPr="000555DC" w:rsidRDefault="005B74DB" w:rsidP="005B74DB">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98,885,664</w:t>
            </w:r>
          </w:p>
        </w:tc>
        <w:tc>
          <w:tcPr>
            <w:tcW w:w="1921" w:type="dxa"/>
            <w:tcBorders>
              <w:top w:val="single" w:sz="4" w:space="0" w:color="000000"/>
              <w:left w:val="nil"/>
              <w:bottom w:val="single" w:sz="4" w:space="0" w:color="000000"/>
              <w:right w:val="single" w:sz="4" w:space="0" w:color="000000"/>
            </w:tcBorders>
            <w:shd w:val="clear" w:color="auto" w:fill="auto"/>
            <w:noWrap/>
            <w:vAlign w:val="bottom"/>
            <w:hideMark/>
          </w:tcPr>
          <w:p w:rsidR="005B74DB" w:rsidRPr="000555DC" w:rsidRDefault="005B74DB" w:rsidP="005B74DB">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52,457,893</w:t>
            </w:r>
          </w:p>
        </w:tc>
      </w:tr>
      <w:tr w:rsidR="005B74DB" w:rsidRPr="000555DC" w:rsidTr="005912DC">
        <w:trPr>
          <w:trHeight w:val="272"/>
        </w:trPr>
        <w:tc>
          <w:tcPr>
            <w:tcW w:w="2546" w:type="dxa"/>
            <w:tcBorders>
              <w:top w:val="nil"/>
              <w:left w:val="single" w:sz="4" w:space="0" w:color="000000"/>
              <w:bottom w:val="single" w:sz="4" w:space="0" w:color="000000"/>
              <w:right w:val="single" w:sz="4" w:space="0" w:color="000000"/>
            </w:tcBorders>
            <w:shd w:val="clear" w:color="000000" w:fill="99CCFF"/>
            <w:noWrap/>
            <w:vAlign w:val="bottom"/>
            <w:hideMark/>
          </w:tcPr>
          <w:p w:rsidR="005B74DB" w:rsidRPr="00574C09" w:rsidRDefault="00574C09" w:rsidP="005B74DB">
            <w:pPr>
              <w:spacing w:after="0" w:line="240" w:lineRule="auto"/>
              <w:rPr>
                <w:rFonts w:asciiTheme="minorHAnsi" w:eastAsia="Times New Roman" w:hAnsiTheme="minorHAnsi" w:cs="Arial"/>
                <w:sz w:val="20"/>
                <w:szCs w:val="20"/>
                <w:lang w:val="en-GB" w:eastAsia="en-GB"/>
              </w:rPr>
            </w:pPr>
            <w:r w:rsidRPr="00574C09">
              <w:rPr>
                <w:rFonts w:asciiTheme="minorHAnsi" w:eastAsia="Times New Roman" w:hAnsiTheme="minorHAnsi"/>
                <w:sz w:val="22"/>
                <w:lang w:eastAsia="en-GB"/>
              </w:rPr>
              <w:t>Ιαν</w:t>
            </w:r>
            <w:r w:rsidRPr="00574C09">
              <w:rPr>
                <w:rFonts w:asciiTheme="minorHAnsi" w:eastAsia="Times New Roman" w:hAnsiTheme="minorHAnsi"/>
                <w:sz w:val="22"/>
                <w:lang w:val="nl-NL" w:eastAsia="en-GB"/>
              </w:rPr>
              <w:t xml:space="preserve">.- </w:t>
            </w:r>
            <w:r w:rsidRPr="00574C09">
              <w:rPr>
                <w:rFonts w:asciiTheme="minorHAnsi" w:eastAsia="Times New Roman" w:hAnsiTheme="minorHAnsi"/>
                <w:sz w:val="22"/>
                <w:lang w:eastAsia="en-GB"/>
              </w:rPr>
              <w:t>Δεκ</w:t>
            </w:r>
            <w:r w:rsidRPr="00574C09">
              <w:rPr>
                <w:rFonts w:asciiTheme="minorHAnsi" w:eastAsia="Times New Roman" w:hAnsiTheme="minorHAnsi"/>
                <w:sz w:val="22"/>
                <w:lang w:val="nl-NL" w:eastAsia="en-GB"/>
              </w:rPr>
              <w:t xml:space="preserve">. </w:t>
            </w:r>
            <w:r w:rsidR="005B74DB" w:rsidRPr="00574C09">
              <w:rPr>
                <w:rFonts w:asciiTheme="minorHAnsi" w:eastAsia="Times New Roman" w:hAnsiTheme="minorHAnsi" w:cs="Arial"/>
                <w:sz w:val="20"/>
                <w:szCs w:val="20"/>
                <w:lang w:val="en-GB" w:eastAsia="en-GB"/>
              </w:rPr>
              <w:t>2010</w:t>
            </w:r>
          </w:p>
        </w:tc>
        <w:tc>
          <w:tcPr>
            <w:tcW w:w="2629" w:type="dxa"/>
            <w:tcBorders>
              <w:top w:val="nil"/>
              <w:left w:val="nil"/>
              <w:bottom w:val="single" w:sz="4" w:space="0" w:color="000000"/>
              <w:right w:val="single" w:sz="4" w:space="0" w:color="000000"/>
            </w:tcBorders>
            <w:shd w:val="clear" w:color="auto" w:fill="auto"/>
            <w:noWrap/>
            <w:vAlign w:val="bottom"/>
            <w:hideMark/>
          </w:tcPr>
          <w:p w:rsidR="005B74DB" w:rsidRPr="000555DC" w:rsidRDefault="005B74DB" w:rsidP="005B74DB">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9,886,199</w:t>
            </w:r>
          </w:p>
        </w:tc>
        <w:tc>
          <w:tcPr>
            <w:tcW w:w="1921" w:type="dxa"/>
            <w:tcBorders>
              <w:top w:val="nil"/>
              <w:left w:val="nil"/>
              <w:bottom w:val="single" w:sz="4" w:space="0" w:color="000000"/>
              <w:right w:val="single" w:sz="4" w:space="0" w:color="000000"/>
            </w:tcBorders>
            <w:shd w:val="clear" w:color="auto" w:fill="auto"/>
            <w:noWrap/>
            <w:vAlign w:val="bottom"/>
            <w:hideMark/>
          </w:tcPr>
          <w:p w:rsidR="005B74DB" w:rsidRPr="000555DC" w:rsidRDefault="005B74DB" w:rsidP="005B74DB">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105,640,375</w:t>
            </w:r>
          </w:p>
        </w:tc>
        <w:tc>
          <w:tcPr>
            <w:tcW w:w="1921" w:type="dxa"/>
            <w:tcBorders>
              <w:top w:val="nil"/>
              <w:left w:val="nil"/>
              <w:bottom w:val="single" w:sz="4" w:space="0" w:color="000000"/>
              <w:right w:val="single" w:sz="4" w:space="0" w:color="000000"/>
            </w:tcBorders>
            <w:shd w:val="clear" w:color="auto" w:fill="auto"/>
            <w:noWrap/>
            <w:vAlign w:val="bottom"/>
            <w:hideMark/>
          </w:tcPr>
          <w:p w:rsidR="005B74DB" w:rsidRPr="000555DC" w:rsidRDefault="005B74DB" w:rsidP="005B74DB">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57,710,234</w:t>
            </w:r>
          </w:p>
        </w:tc>
      </w:tr>
      <w:tr w:rsidR="005B74DB" w:rsidRPr="000555DC" w:rsidTr="005912DC">
        <w:trPr>
          <w:trHeight w:val="272"/>
        </w:trPr>
        <w:tc>
          <w:tcPr>
            <w:tcW w:w="2546" w:type="dxa"/>
            <w:tcBorders>
              <w:top w:val="nil"/>
              <w:left w:val="single" w:sz="4" w:space="0" w:color="000000"/>
              <w:bottom w:val="single" w:sz="4" w:space="0" w:color="000000"/>
              <w:right w:val="single" w:sz="4" w:space="0" w:color="000000"/>
            </w:tcBorders>
            <w:shd w:val="clear" w:color="000000" w:fill="99CCFF"/>
            <w:noWrap/>
            <w:vAlign w:val="bottom"/>
            <w:hideMark/>
          </w:tcPr>
          <w:p w:rsidR="005B74DB" w:rsidRPr="00574C09" w:rsidRDefault="00574C09" w:rsidP="005B74DB">
            <w:pPr>
              <w:spacing w:after="0" w:line="240" w:lineRule="auto"/>
              <w:rPr>
                <w:rFonts w:asciiTheme="minorHAnsi" w:eastAsia="Times New Roman" w:hAnsiTheme="minorHAnsi" w:cs="Arial"/>
                <w:sz w:val="20"/>
                <w:szCs w:val="20"/>
                <w:lang w:val="en-GB" w:eastAsia="en-GB"/>
              </w:rPr>
            </w:pPr>
            <w:r w:rsidRPr="00574C09">
              <w:rPr>
                <w:rFonts w:asciiTheme="minorHAnsi" w:eastAsia="Times New Roman" w:hAnsiTheme="minorHAnsi"/>
                <w:sz w:val="22"/>
                <w:lang w:eastAsia="en-GB"/>
              </w:rPr>
              <w:t>Ιαν</w:t>
            </w:r>
            <w:r w:rsidRPr="00574C09">
              <w:rPr>
                <w:rFonts w:asciiTheme="minorHAnsi" w:eastAsia="Times New Roman" w:hAnsiTheme="minorHAnsi"/>
                <w:sz w:val="22"/>
                <w:lang w:val="nl-NL" w:eastAsia="en-GB"/>
              </w:rPr>
              <w:t xml:space="preserve">.- </w:t>
            </w:r>
            <w:r w:rsidRPr="00574C09">
              <w:rPr>
                <w:rFonts w:asciiTheme="minorHAnsi" w:eastAsia="Times New Roman" w:hAnsiTheme="minorHAnsi"/>
                <w:sz w:val="22"/>
                <w:lang w:eastAsia="en-GB"/>
              </w:rPr>
              <w:t>Δεκ</w:t>
            </w:r>
            <w:r w:rsidRPr="00574C09">
              <w:rPr>
                <w:rFonts w:asciiTheme="minorHAnsi" w:eastAsia="Times New Roman" w:hAnsiTheme="minorHAnsi"/>
                <w:sz w:val="22"/>
                <w:lang w:val="nl-NL" w:eastAsia="en-GB"/>
              </w:rPr>
              <w:t xml:space="preserve">. </w:t>
            </w:r>
            <w:r w:rsidR="005B74DB" w:rsidRPr="00574C09">
              <w:rPr>
                <w:rFonts w:asciiTheme="minorHAnsi" w:eastAsia="Times New Roman" w:hAnsiTheme="minorHAnsi" w:cs="Arial"/>
                <w:sz w:val="20"/>
                <w:szCs w:val="20"/>
                <w:lang w:val="en-GB" w:eastAsia="en-GB"/>
              </w:rPr>
              <w:t>2011</w:t>
            </w:r>
          </w:p>
        </w:tc>
        <w:tc>
          <w:tcPr>
            <w:tcW w:w="2629" w:type="dxa"/>
            <w:tcBorders>
              <w:top w:val="nil"/>
              <w:left w:val="nil"/>
              <w:bottom w:val="single" w:sz="4" w:space="0" w:color="000000"/>
              <w:right w:val="single" w:sz="4" w:space="0" w:color="000000"/>
            </w:tcBorders>
            <w:shd w:val="clear" w:color="auto" w:fill="auto"/>
            <w:noWrap/>
            <w:vAlign w:val="bottom"/>
            <w:hideMark/>
          </w:tcPr>
          <w:p w:rsidR="005B74DB" w:rsidRPr="000555DC" w:rsidRDefault="005B74DB" w:rsidP="005B74DB">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10,021,152</w:t>
            </w:r>
          </w:p>
        </w:tc>
        <w:tc>
          <w:tcPr>
            <w:tcW w:w="1921" w:type="dxa"/>
            <w:tcBorders>
              <w:top w:val="nil"/>
              <w:left w:val="nil"/>
              <w:bottom w:val="single" w:sz="4" w:space="0" w:color="000000"/>
              <w:right w:val="single" w:sz="4" w:space="0" w:color="000000"/>
            </w:tcBorders>
            <w:shd w:val="clear" w:color="auto" w:fill="auto"/>
            <w:noWrap/>
            <w:vAlign w:val="bottom"/>
            <w:hideMark/>
          </w:tcPr>
          <w:p w:rsidR="005B74DB" w:rsidRPr="000555DC" w:rsidRDefault="005B74DB" w:rsidP="005B74DB">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118,568,023</w:t>
            </w:r>
          </w:p>
        </w:tc>
        <w:tc>
          <w:tcPr>
            <w:tcW w:w="1921" w:type="dxa"/>
            <w:tcBorders>
              <w:top w:val="nil"/>
              <w:left w:val="nil"/>
              <w:bottom w:val="single" w:sz="4" w:space="0" w:color="000000"/>
              <w:right w:val="single" w:sz="4" w:space="0" w:color="000000"/>
            </w:tcBorders>
            <w:shd w:val="clear" w:color="auto" w:fill="auto"/>
            <w:noWrap/>
            <w:vAlign w:val="bottom"/>
            <w:hideMark/>
          </w:tcPr>
          <w:p w:rsidR="005B74DB" w:rsidRPr="000555DC" w:rsidRDefault="005B74DB" w:rsidP="005B74DB">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54,277,597</w:t>
            </w:r>
          </w:p>
        </w:tc>
      </w:tr>
      <w:tr w:rsidR="005B74DB" w:rsidRPr="000555DC" w:rsidTr="005912DC">
        <w:trPr>
          <w:trHeight w:val="272"/>
        </w:trPr>
        <w:tc>
          <w:tcPr>
            <w:tcW w:w="2546" w:type="dxa"/>
            <w:tcBorders>
              <w:top w:val="nil"/>
              <w:left w:val="single" w:sz="4" w:space="0" w:color="000000"/>
              <w:bottom w:val="single" w:sz="4" w:space="0" w:color="000000"/>
              <w:right w:val="single" w:sz="4" w:space="0" w:color="000000"/>
            </w:tcBorders>
            <w:shd w:val="clear" w:color="000000" w:fill="99CCFF"/>
            <w:noWrap/>
            <w:vAlign w:val="bottom"/>
            <w:hideMark/>
          </w:tcPr>
          <w:p w:rsidR="005B74DB" w:rsidRPr="00574C09" w:rsidRDefault="00574C09" w:rsidP="005B74DB">
            <w:pPr>
              <w:spacing w:after="0" w:line="240" w:lineRule="auto"/>
              <w:rPr>
                <w:rFonts w:asciiTheme="minorHAnsi" w:eastAsia="Times New Roman" w:hAnsiTheme="minorHAnsi" w:cs="Arial"/>
                <w:sz w:val="20"/>
                <w:szCs w:val="20"/>
                <w:lang w:val="en-GB" w:eastAsia="en-GB"/>
              </w:rPr>
            </w:pPr>
            <w:r w:rsidRPr="00574C09">
              <w:rPr>
                <w:rFonts w:asciiTheme="minorHAnsi" w:eastAsia="Times New Roman" w:hAnsiTheme="minorHAnsi"/>
                <w:sz w:val="22"/>
                <w:lang w:eastAsia="en-GB"/>
              </w:rPr>
              <w:t>Ιαν</w:t>
            </w:r>
            <w:r w:rsidRPr="00574C09">
              <w:rPr>
                <w:rFonts w:asciiTheme="minorHAnsi" w:eastAsia="Times New Roman" w:hAnsiTheme="minorHAnsi"/>
                <w:sz w:val="22"/>
                <w:lang w:val="nl-NL" w:eastAsia="en-GB"/>
              </w:rPr>
              <w:t xml:space="preserve">.- </w:t>
            </w:r>
            <w:r w:rsidRPr="00574C09">
              <w:rPr>
                <w:rFonts w:asciiTheme="minorHAnsi" w:eastAsia="Times New Roman" w:hAnsiTheme="minorHAnsi"/>
                <w:sz w:val="22"/>
                <w:lang w:eastAsia="en-GB"/>
              </w:rPr>
              <w:t>Δεκ</w:t>
            </w:r>
            <w:r w:rsidRPr="00574C09">
              <w:rPr>
                <w:rFonts w:asciiTheme="minorHAnsi" w:eastAsia="Times New Roman" w:hAnsiTheme="minorHAnsi"/>
                <w:sz w:val="22"/>
                <w:lang w:val="nl-NL" w:eastAsia="en-GB"/>
              </w:rPr>
              <w:t xml:space="preserve">. </w:t>
            </w:r>
            <w:r w:rsidR="005B74DB" w:rsidRPr="00574C09">
              <w:rPr>
                <w:rFonts w:asciiTheme="minorHAnsi" w:eastAsia="Times New Roman" w:hAnsiTheme="minorHAnsi" w:cs="Arial"/>
                <w:sz w:val="20"/>
                <w:szCs w:val="20"/>
                <w:lang w:val="en-GB" w:eastAsia="en-GB"/>
              </w:rPr>
              <w:t>2012</w:t>
            </w:r>
          </w:p>
        </w:tc>
        <w:tc>
          <w:tcPr>
            <w:tcW w:w="2629" w:type="dxa"/>
            <w:tcBorders>
              <w:top w:val="nil"/>
              <w:left w:val="nil"/>
              <w:bottom w:val="single" w:sz="4" w:space="0" w:color="000000"/>
              <w:right w:val="single" w:sz="4" w:space="0" w:color="000000"/>
            </w:tcBorders>
            <w:shd w:val="clear" w:color="auto" w:fill="auto"/>
            <w:noWrap/>
            <w:vAlign w:val="bottom"/>
            <w:hideMark/>
          </w:tcPr>
          <w:p w:rsidR="005B74DB" w:rsidRPr="000555DC" w:rsidRDefault="005B74DB" w:rsidP="005B74DB">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8,423,267</w:t>
            </w:r>
          </w:p>
        </w:tc>
        <w:tc>
          <w:tcPr>
            <w:tcW w:w="1921" w:type="dxa"/>
            <w:tcBorders>
              <w:top w:val="nil"/>
              <w:left w:val="nil"/>
              <w:bottom w:val="single" w:sz="4" w:space="0" w:color="000000"/>
              <w:right w:val="single" w:sz="4" w:space="0" w:color="000000"/>
            </w:tcBorders>
            <w:shd w:val="clear" w:color="auto" w:fill="auto"/>
            <w:noWrap/>
            <w:vAlign w:val="bottom"/>
            <w:hideMark/>
          </w:tcPr>
          <w:p w:rsidR="005B74DB" w:rsidRPr="000555DC" w:rsidRDefault="005B74DB" w:rsidP="005B74DB">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112,930,924</w:t>
            </w:r>
          </w:p>
        </w:tc>
        <w:tc>
          <w:tcPr>
            <w:tcW w:w="1921" w:type="dxa"/>
            <w:tcBorders>
              <w:top w:val="nil"/>
              <w:left w:val="nil"/>
              <w:bottom w:val="single" w:sz="4" w:space="0" w:color="000000"/>
              <w:right w:val="single" w:sz="4" w:space="0" w:color="000000"/>
            </w:tcBorders>
            <w:shd w:val="clear" w:color="auto" w:fill="auto"/>
            <w:noWrap/>
            <w:vAlign w:val="bottom"/>
            <w:hideMark/>
          </w:tcPr>
          <w:p w:rsidR="005B74DB" w:rsidRPr="000555DC" w:rsidRDefault="005B74DB" w:rsidP="005B74DB">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58,879,882</w:t>
            </w:r>
          </w:p>
        </w:tc>
      </w:tr>
      <w:tr w:rsidR="005B74DB" w:rsidRPr="000555DC" w:rsidTr="005912DC">
        <w:trPr>
          <w:trHeight w:val="272"/>
        </w:trPr>
        <w:tc>
          <w:tcPr>
            <w:tcW w:w="2546" w:type="dxa"/>
            <w:tcBorders>
              <w:top w:val="nil"/>
              <w:left w:val="single" w:sz="4" w:space="0" w:color="000000"/>
              <w:bottom w:val="single" w:sz="4" w:space="0" w:color="000000"/>
              <w:right w:val="single" w:sz="4" w:space="0" w:color="000000"/>
            </w:tcBorders>
            <w:shd w:val="clear" w:color="000000" w:fill="99CCFF"/>
            <w:noWrap/>
            <w:vAlign w:val="bottom"/>
            <w:hideMark/>
          </w:tcPr>
          <w:p w:rsidR="005B74DB" w:rsidRPr="00574C09" w:rsidRDefault="00574C09" w:rsidP="005B74DB">
            <w:pPr>
              <w:spacing w:after="0" w:line="240" w:lineRule="auto"/>
              <w:rPr>
                <w:rFonts w:asciiTheme="minorHAnsi" w:eastAsia="Times New Roman" w:hAnsiTheme="minorHAnsi" w:cs="Arial"/>
                <w:sz w:val="20"/>
                <w:szCs w:val="20"/>
                <w:lang w:val="en-GB" w:eastAsia="en-GB"/>
              </w:rPr>
            </w:pPr>
            <w:r w:rsidRPr="00574C09">
              <w:rPr>
                <w:rFonts w:asciiTheme="minorHAnsi" w:eastAsia="Times New Roman" w:hAnsiTheme="minorHAnsi"/>
                <w:sz w:val="22"/>
                <w:lang w:eastAsia="en-GB"/>
              </w:rPr>
              <w:t>Ιαν</w:t>
            </w:r>
            <w:r w:rsidRPr="00574C09">
              <w:rPr>
                <w:rFonts w:asciiTheme="minorHAnsi" w:eastAsia="Times New Roman" w:hAnsiTheme="minorHAnsi"/>
                <w:sz w:val="22"/>
                <w:lang w:val="nl-NL" w:eastAsia="en-GB"/>
              </w:rPr>
              <w:t xml:space="preserve">.- </w:t>
            </w:r>
            <w:r w:rsidRPr="00574C09">
              <w:rPr>
                <w:rFonts w:asciiTheme="minorHAnsi" w:eastAsia="Times New Roman" w:hAnsiTheme="minorHAnsi"/>
                <w:sz w:val="22"/>
                <w:lang w:eastAsia="en-GB"/>
              </w:rPr>
              <w:t>Δεκ</w:t>
            </w:r>
            <w:r w:rsidRPr="00574C09">
              <w:rPr>
                <w:rFonts w:asciiTheme="minorHAnsi" w:eastAsia="Times New Roman" w:hAnsiTheme="minorHAnsi"/>
                <w:sz w:val="22"/>
                <w:lang w:val="nl-NL" w:eastAsia="en-GB"/>
              </w:rPr>
              <w:t xml:space="preserve">. </w:t>
            </w:r>
            <w:r w:rsidR="005B74DB" w:rsidRPr="00574C09">
              <w:rPr>
                <w:rFonts w:asciiTheme="minorHAnsi" w:eastAsia="Times New Roman" w:hAnsiTheme="minorHAnsi" w:cs="Arial"/>
                <w:sz w:val="20"/>
                <w:szCs w:val="20"/>
                <w:lang w:val="en-GB" w:eastAsia="en-GB"/>
              </w:rPr>
              <w:t>2013</w:t>
            </w:r>
          </w:p>
        </w:tc>
        <w:tc>
          <w:tcPr>
            <w:tcW w:w="2629" w:type="dxa"/>
            <w:tcBorders>
              <w:top w:val="nil"/>
              <w:left w:val="nil"/>
              <w:bottom w:val="single" w:sz="4" w:space="0" w:color="000000"/>
              <w:right w:val="single" w:sz="4" w:space="0" w:color="000000"/>
            </w:tcBorders>
            <w:shd w:val="clear" w:color="auto" w:fill="auto"/>
            <w:noWrap/>
            <w:vAlign w:val="bottom"/>
            <w:hideMark/>
          </w:tcPr>
          <w:p w:rsidR="005B74DB" w:rsidRPr="000555DC" w:rsidRDefault="005B74DB" w:rsidP="005B74DB">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13,444,270</w:t>
            </w:r>
          </w:p>
        </w:tc>
        <w:tc>
          <w:tcPr>
            <w:tcW w:w="1921" w:type="dxa"/>
            <w:tcBorders>
              <w:top w:val="nil"/>
              <w:left w:val="nil"/>
              <w:bottom w:val="single" w:sz="4" w:space="0" w:color="000000"/>
              <w:right w:val="single" w:sz="4" w:space="0" w:color="000000"/>
            </w:tcBorders>
            <w:shd w:val="clear" w:color="auto" w:fill="auto"/>
            <w:noWrap/>
            <w:vAlign w:val="bottom"/>
            <w:hideMark/>
          </w:tcPr>
          <w:p w:rsidR="005B74DB" w:rsidRPr="000555DC" w:rsidRDefault="005B74DB" w:rsidP="005B74DB">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121,345,275</w:t>
            </w:r>
          </w:p>
        </w:tc>
        <w:tc>
          <w:tcPr>
            <w:tcW w:w="1921" w:type="dxa"/>
            <w:tcBorders>
              <w:top w:val="nil"/>
              <w:left w:val="nil"/>
              <w:bottom w:val="single" w:sz="4" w:space="0" w:color="000000"/>
              <w:right w:val="single" w:sz="4" w:space="0" w:color="000000"/>
            </w:tcBorders>
            <w:shd w:val="clear" w:color="auto" w:fill="auto"/>
            <w:noWrap/>
            <w:vAlign w:val="bottom"/>
            <w:hideMark/>
          </w:tcPr>
          <w:p w:rsidR="005B74DB" w:rsidRPr="000555DC" w:rsidRDefault="005B74DB" w:rsidP="005B74DB">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69,635,924</w:t>
            </w:r>
          </w:p>
        </w:tc>
      </w:tr>
      <w:tr w:rsidR="005B74DB" w:rsidRPr="000555DC" w:rsidTr="005912DC">
        <w:trPr>
          <w:trHeight w:val="272"/>
        </w:trPr>
        <w:tc>
          <w:tcPr>
            <w:tcW w:w="2546" w:type="dxa"/>
            <w:tcBorders>
              <w:top w:val="nil"/>
              <w:left w:val="single" w:sz="4" w:space="0" w:color="000000"/>
              <w:bottom w:val="single" w:sz="4" w:space="0" w:color="000000"/>
              <w:right w:val="single" w:sz="4" w:space="0" w:color="000000"/>
            </w:tcBorders>
            <w:shd w:val="clear" w:color="000000" w:fill="99CCFF"/>
            <w:noWrap/>
            <w:vAlign w:val="bottom"/>
            <w:hideMark/>
          </w:tcPr>
          <w:p w:rsidR="005B74DB" w:rsidRPr="00574C09" w:rsidRDefault="00574C09" w:rsidP="005B74DB">
            <w:pPr>
              <w:spacing w:after="0" w:line="240" w:lineRule="auto"/>
              <w:rPr>
                <w:rFonts w:asciiTheme="minorHAnsi" w:eastAsia="Times New Roman" w:hAnsiTheme="minorHAnsi" w:cs="Arial"/>
                <w:sz w:val="20"/>
                <w:szCs w:val="20"/>
                <w:lang w:val="en-GB" w:eastAsia="en-GB"/>
              </w:rPr>
            </w:pPr>
            <w:r w:rsidRPr="00574C09">
              <w:rPr>
                <w:rFonts w:asciiTheme="minorHAnsi" w:eastAsia="Times New Roman" w:hAnsiTheme="minorHAnsi"/>
                <w:sz w:val="22"/>
                <w:lang w:eastAsia="en-GB"/>
              </w:rPr>
              <w:t>Ιαν</w:t>
            </w:r>
            <w:r w:rsidRPr="00574C09">
              <w:rPr>
                <w:rFonts w:asciiTheme="minorHAnsi" w:eastAsia="Times New Roman" w:hAnsiTheme="minorHAnsi"/>
                <w:sz w:val="22"/>
                <w:lang w:val="nl-NL" w:eastAsia="en-GB"/>
              </w:rPr>
              <w:t xml:space="preserve">.- </w:t>
            </w:r>
            <w:r w:rsidRPr="00574C09">
              <w:rPr>
                <w:rFonts w:asciiTheme="minorHAnsi" w:eastAsia="Times New Roman" w:hAnsiTheme="minorHAnsi"/>
                <w:sz w:val="22"/>
                <w:lang w:eastAsia="en-GB"/>
              </w:rPr>
              <w:t>Δεκ</w:t>
            </w:r>
            <w:r w:rsidRPr="00574C09">
              <w:rPr>
                <w:rFonts w:asciiTheme="minorHAnsi" w:eastAsia="Times New Roman" w:hAnsiTheme="minorHAnsi"/>
                <w:sz w:val="22"/>
                <w:lang w:val="nl-NL" w:eastAsia="en-GB"/>
              </w:rPr>
              <w:t>.</w:t>
            </w:r>
            <w:r w:rsidR="005B74DB" w:rsidRPr="00574C09">
              <w:rPr>
                <w:rFonts w:asciiTheme="minorHAnsi" w:eastAsia="Times New Roman" w:hAnsiTheme="minorHAnsi" w:cs="Arial"/>
                <w:sz w:val="20"/>
                <w:szCs w:val="20"/>
                <w:lang w:val="en-GB" w:eastAsia="en-GB"/>
              </w:rPr>
              <w:t>. 2014</w:t>
            </w:r>
          </w:p>
        </w:tc>
        <w:tc>
          <w:tcPr>
            <w:tcW w:w="2629" w:type="dxa"/>
            <w:tcBorders>
              <w:top w:val="nil"/>
              <w:left w:val="nil"/>
              <w:bottom w:val="single" w:sz="4" w:space="0" w:color="000000"/>
              <w:right w:val="single" w:sz="4" w:space="0" w:color="000000"/>
            </w:tcBorders>
            <w:shd w:val="clear" w:color="auto" w:fill="auto"/>
            <w:noWrap/>
            <w:vAlign w:val="bottom"/>
            <w:hideMark/>
          </w:tcPr>
          <w:p w:rsidR="005B74DB" w:rsidRPr="000555DC" w:rsidRDefault="005B74DB" w:rsidP="005B74DB">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11,464,449</w:t>
            </w:r>
          </w:p>
        </w:tc>
        <w:tc>
          <w:tcPr>
            <w:tcW w:w="1921" w:type="dxa"/>
            <w:tcBorders>
              <w:top w:val="nil"/>
              <w:left w:val="nil"/>
              <w:bottom w:val="single" w:sz="4" w:space="0" w:color="000000"/>
              <w:right w:val="single" w:sz="4" w:space="0" w:color="000000"/>
            </w:tcBorders>
            <w:shd w:val="clear" w:color="auto" w:fill="auto"/>
            <w:noWrap/>
            <w:vAlign w:val="bottom"/>
            <w:hideMark/>
          </w:tcPr>
          <w:p w:rsidR="005B74DB" w:rsidRPr="000555DC" w:rsidRDefault="005B74DB" w:rsidP="005B74DB">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100,228,325</w:t>
            </w:r>
          </w:p>
        </w:tc>
        <w:tc>
          <w:tcPr>
            <w:tcW w:w="1921" w:type="dxa"/>
            <w:tcBorders>
              <w:top w:val="nil"/>
              <w:left w:val="nil"/>
              <w:bottom w:val="single" w:sz="4" w:space="0" w:color="000000"/>
              <w:right w:val="single" w:sz="4" w:space="0" w:color="000000"/>
            </w:tcBorders>
            <w:shd w:val="clear" w:color="auto" w:fill="auto"/>
            <w:noWrap/>
            <w:vAlign w:val="bottom"/>
            <w:hideMark/>
          </w:tcPr>
          <w:p w:rsidR="005B74DB" w:rsidRPr="000555DC" w:rsidRDefault="005B74DB" w:rsidP="005B74DB">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61,116,752</w:t>
            </w:r>
          </w:p>
        </w:tc>
      </w:tr>
    </w:tbl>
    <w:p w:rsidR="005B74DB" w:rsidRPr="000555DC" w:rsidRDefault="005912DC" w:rsidP="00FE3B04">
      <w:pPr>
        <w:jc w:val="both"/>
        <w:rPr>
          <w:rFonts w:asciiTheme="minorHAnsi" w:hAnsiTheme="minorHAnsi"/>
          <w:szCs w:val="24"/>
        </w:rPr>
      </w:pPr>
      <w:r w:rsidRPr="000555DC">
        <w:rPr>
          <w:rFonts w:asciiTheme="minorHAnsi" w:hAnsiTheme="minorHAnsi"/>
          <w:noProof/>
          <w:lang w:eastAsia="el-GR"/>
        </w:rPr>
        <w:lastRenderedPageBreak/>
        <w:drawing>
          <wp:inline distT="0" distB="0" distL="0" distR="0" wp14:anchorId="4D95F689" wp14:editId="0D1FCEAC">
            <wp:extent cx="5917997" cy="2531059"/>
            <wp:effectExtent l="0" t="0" r="26035" b="222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W w:w="9382" w:type="dxa"/>
        <w:tblInd w:w="93" w:type="dxa"/>
        <w:tblLook w:val="04A0" w:firstRow="1" w:lastRow="0" w:firstColumn="1" w:lastColumn="0" w:noHBand="0" w:noVBand="1"/>
      </w:tblPr>
      <w:tblGrid>
        <w:gridCol w:w="2584"/>
        <w:gridCol w:w="2726"/>
        <w:gridCol w:w="2036"/>
        <w:gridCol w:w="2036"/>
      </w:tblGrid>
      <w:tr w:rsidR="005912DC" w:rsidRPr="000555DC" w:rsidTr="005912DC">
        <w:trPr>
          <w:trHeight w:val="290"/>
        </w:trPr>
        <w:tc>
          <w:tcPr>
            <w:tcW w:w="2584" w:type="dxa"/>
            <w:tcBorders>
              <w:top w:val="single" w:sz="4" w:space="0" w:color="000000"/>
              <w:left w:val="single" w:sz="4" w:space="0" w:color="000000"/>
              <w:bottom w:val="single" w:sz="4" w:space="0" w:color="000000"/>
              <w:right w:val="single" w:sz="4" w:space="0" w:color="000000"/>
            </w:tcBorders>
            <w:shd w:val="clear" w:color="000000" w:fill="95B3D7"/>
            <w:noWrap/>
            <w:vAlign w:val="bottom"/>
            <w:hideMark/>
          </w:tcPr>
          <w:p w:rsidR="005912DC" w:rsidRPr="000555DC" w:rsidRDefault="005912DC" w:rsidP="005912DC">
            <w:pPr>
              <w:spacing w:after="0" w:line="240" w:lineRule="auto"/>
              <w:rPr>
                <w:rFonts w:asciiTheme="minorHAnsi" w:eastAsia="Times New Roman" w:hAnsiTheme="minorHAnsi"/>
                <w:color w:val="FFFFFF"/>
                <w:sz w:val="22"/>
                <w:lang w:val="en-GB" w:eastAsia="en-GB"/>
              </w:rPr>
            </w:pPr>
            <w:proofErr w:type="spellStart"/>
            <w:r w:rsidRPr="000555DC">
              <w:rPr>
                <w:rFonts w:asciiTheme="minorHAnsi" w:eastAsia="Times New Roman" w:hAnsiTheme="minorHAnsi"/>
                <w:color w:val="FFFFFF"/>
                <w:sz w:val="22"/>
                <w:lang w:val="en-GB" w:eastAsia="en-GB"/>
              </w:rPr>
              <w:t>Περίοδος</w:t>
            </w:r>
            <w:proofErr w:type="spellEnd"/>
            <w:r w:rsidRPr="000555DC">
              <w:rPr>
                <w:rFonts w:asciiTheme="minorHAnsi" w:eastAsia="Times New Roman" w:hAnsiTheme="minorHAnsi"/>
                <w:color w:val="FFFFFF"/>
                <w:sz w:val="22"/>
                <w:lang w:val="en-GB" w:eastAsia="en-GB"/>
              </w:rPr>
              <w:t>/</w:t>
            </w:r>
            <w:proofErr w:type="spellStart"/>
            <w:r w:rsidRPr="000555DC">
              <w:rPr>
                <w:rFonts w:asciiTheme="minorHAnsi" w:eastAsia="Times New Roman" w:hAnsiTheme="minorHAnsi"/>
                <w:color w:val="FFFFFF"/>
                <w:sz w:val="22"/>
                <w:lang w:val="en-GB" w:eastAsia="en-GB"/>
              </w:rPr>
              <w:t>Εξ</w:t>
            </w:r>
            <w:proofErr w:type="spellEnd"/>
            <w:r w:rsidRPr="000555DC">
              <w:rPr>
                <w:rFonts w:asciiTheme="minorHAnsi" w:eastAsia="Times New Roman" w:hAnsiTheme="minorHAnsi"/>
                <w:color w:val="FFFFFF"/>
                <w:sz w:val="22"/>
                <w:lang w:val="en-GB" w:eastAsia="en-GB"/>
              </w:rPr>
              <w:t>αγωγέας</w:t>
            </w:r>
          </w:p>
        </w:tc>
        <w:tc>
          <w:tcPr>
            <w:tcW w:w="2726" w:type="dxa"/>
            <w:tcBorders>
              <w:top w:val="nil"/>
              <w:left w:val="nil"/>
              <w:bottom w:val="nil"/>
              <w:right w:val="nil"/>
            </w:tcBorders>
            <w:shd w:val="clear" w:color="000000" w:fill="95B3D7"/>
            <w:noWrap/>
            <w:vAlign w:val="bottom"/>
            <w:hideMark/>
          </w:tcPr>
          <w:p w:rsidR="005912DC" w:rsidRPr="000555DC" w:rsidRDefault="005912DC" w:rsidP="009B0A72">
            <w:pPr>
              <w:spacing w:after="0" w:line="240" w:lineRule="auto"/>
              <w:jc w:val="center"/>
              <w:rPr>
                <w:rFonts w:asciiTheme="minorHAnsi" w:eastAsia="Times New Roman" w:hAnsiTheme="minorHAnsi"/>
                <w:color w:val="FFFFFF"/>
                <w:sz w:val="22"/>
                <w:lang w:val="en-GB" w:eastAsia="en-GB"/>
              </w:rPr>
            </w:pPr>
            <w:proofErr w:type="spellStart"/>
            <w:r w:rsidRPr="000555DC">
              <w:rPr>
                <w:rFonts w:asciiTheme="minorHAnsi" w:eastAsia="Times New Roman" w:hAnsiTheme="minorHAnsi"/>
                <w:color w:val="FFFFFF"/>
                <w:sz w:val="22"/>
                <w:lang w:val="en-GB" w:eastAsia="en-GB"/>
              </w:rPr>
              <w:t>Ελλάδ</w:t>
            </w:r>
            <w:proofErr w:type="spellEnd"/>
            <w:r w:rsidRPr="000555DC">
              <w:rPr>
                <w:rFonts w:asciiTheme="minorHAnsi" w:eastAsia="Times New Roman" w:hAnsiTheme="minorHAnsi"/>
                <w:color w:val="FFFFFF"/>
                <w:sz w:val="22"/>
                <w:lang w:val="en-GB" w:eastAsia="en-GB"/>
              </w:rPr>
              <w:t>α</w:t>
            </w:r>
          </w:p>
        </w:tc>
        <w:tc>
          <w:tcPr>
            <w:tcW w:w="2036" w:type="dxa"/>
            <w:tcBorders>
              <w:top w:val="nil"/>
              <w:left w:val="nil"/>
              <w:bottom w:val="nil"/>
              <w:right w:val="nil"/>
            </w:tcBorders>
            <w:shd w:val="clear" w:color="000000" w:fill="95B3D7"/>
            <w:noWrap/>
            <w:vAlign w:val="bottom"/>
            <w:hideMark/>
          </w:tcPr>
          <w:p w:rsidR="005912DC" w:rsidRPr="000555DC" w:rsidRDefault="005912DC" w:rsidP="009B0A72">
            <w:pPr>
              <w:spacing w:after="0" w:line="240" w:lineRule="auto"/>
              <w:jc w:val="center"/>
              <w:rPr>
                <w:rFonts w:asciiTheme="minorHAnsi" w:eastAsia="Times New Roman" w:hAnsiTheme="minorHAnsi"/>
                <w:color w:val="FFFFFF"/>
                <w:sz w:val="22"/>
                <w:lang w:val="en-GB" w:eastAsia="en-GB"/>
              </w:rPr>
            </w:pPr>
            <w:proofErr w:type="spellStart"/>
            <w:r w:rsidRPr="000555DC">
              <w:rPr>
                <w:rFonts w:asciiTheme="minorHAnsi" w:eastAsia="Times New Roman" w:hAnsiTheme="minorHAnsi"/>
                <w:color w:val="FFFFFF"/>
                <w:sz w:val="22"/>
                <w:lang w:val="en-GB" w:eastAsia="en-GB"/>
              </w:rPr>
              <w:t>Ιτ</w:t>
            </w:r>
            <w:proofErr w:type="spellEnd"/>
            <w:r w:rsidRPr="000555DC">
              <w:rPr>
                <w:rFonts w:asciiTheme="minorHAnsi" w:eastAsia="Times New Roman" w:hAnsiTheme="minorHAnsi"/>
                <w:color w:val="FFFFFF"/>
                <w:sz w:val="22"/>
                <w:lang w:val="en-GB" w:eastAsia="en-GB"/>
              </w:rPr>
              <w:t>αλία</w:t>
            </w:r>
          </w:p>
        </w:tc>
        <w:tc>
          <w:tcPr>
            <w:tcW w:w="2036" w:type="dxa"/>
            <w:tcBorders>
              <w:top w:val="nil"/>
              <w:left w:val="nil"/>
              <w:bottom w:val="nil"/>
              <w:right w:val="nil"/>
            </w:tcBorders>
            <w:shd w:val="clear" w:color="000000" w:fill="95B3D7"/>
            <w:noWrap/>
            <w:vAlign w:val="bottom"/>
            <w:hideMark/>
          </w:tcPr>
          <w:p w:rsidR="005912DC" w:rsidRPr="000555DC" w:rsidRDefault="005912DC" w:rsidP="009B0A72">
            <w:pPr>
              <w:spacing w:after="0" w:line="240" w:lineRule="auto"/>
              <w:jc w:val="center"/>
              <w:rPr>
                <w:rFonts w:asciiTheme="minorHAnsi" w:eastAsia="Times New Roman" w:hAnsiTheme="minorHAnsi"/>
                <w:color w:val="FFFFFF"/>
                <w:sz w:val="22"/>
                <w:lang w:val="en-GB" w:eastAsia="en-GB"/>
              </w:rPr>
            </w:pPr>
            <w:proofErr w:type="spellStart"/>
            <w:r w:rsidRPr="000555DC">
              <w:rPr>
                <w:rFonts w:asciiTheme="minorHAnsi" w:eastAsia="Times New Roman" w:hAnsiTheme="minorHAnsi"/>
                <w:color w:val="FFFFFF"/>
                <w:sz w:val="22"/>
                <w:lang w:val="en-GB" w:eastAsia="en-GB"/>
              </w:rPr>
              <w:t>Ισ</w:t>
            </w:r>
            <w:proofErr w:type="spellEnd"/>
            <w:r w:rsidRPr="000555DC">
              <w:rPr>
                <w:rFonts w:asciiTheme="minorHAnsi" w:eastAsia="Times New Roman" w:hAnsiTheme="minorHAnsi"/>
                <w:color w:val="FFFFFF"/>
                <w:sz w:val="22"/>
                <w:lang w:val="en-GB" w:eastAsia="en-GB"/>
              </w:rPr>
              <w:t>πανία</w:t>
            </w:r>
          </w:p>
        </w:tc>
      </w:tr>
      <w:tr w:rsidR="005912DC" w:rsidRPr="000555DC" w:rsidTr="005912DC">
        <w:trPr>
          <w:trHeight w:val="290"/>
        </w:trPr>
        <w:tc>
          <w:tcPr>
            <w:tcW w:w="2584" w:type="dxa"/>
            <w:tcBorders>
              <w:top w:val="nil"/>
              <w:left w:val="single" w:sz="4" w:space="0" w:color="000000"/>
              <w:bottom w:val="single" w:sz="4" w:space="0" w:color="000000"/>
              <w:right w:val="single" w:sz="4" w:space="0" w:color="000000"/>
            </w:tcBorders>
            <w:shd w:val="clear" w:color="000000" w:fill="99CCFF"/>
            <w:noWrap/>
            <w:vAlign w:val="bottom"/>
            <w:hideMark/>
          </w:tcPr>
          <w:p w:rsidR="005912DC" w:rsidRPr="00574C09" w:rsidRDefault="00574C09" w:rsidP="005912DC">
            <w:pPr>
              <w:spacing w:after="0" w:line="240" w:lineRule="auto"/>
              <w:rPr>
                <w:rFonts w:asciiTheme="minorHAnsi" w:eastAsia="Times New Roman" w:hAnsiTheme="minorHAnsi" w:cs="Arial"/>
                <w:sz w:val="20"/>
                <w:szCs w:val="20"/>
                <w:lang w:val="en-GB" w:eastAsia="en-GB"/>
              </w:rPr>
            </w:pPr>
            <w:r w:rsidRPr="00574C09">
              <w:rPr>
                <w:rFonts w:asciiTheme="minorHAnsi" w:eastAsia="Times New Roman" w:hAnsiTheme="minorHAnsi"/>
                <w:sz w:val="22"/>
                <w:lang w:eastAsia="en-GB"/>
              </w:rPr>
              <w:t>Ιαν</w:t>
            </w:r>
            <w:r w:rsidRPr="00574C09">
              <w:rPr>
                <w:rFonts w:asciiTheme="minorHAnsi" w:eastAsia="Times New Roman" w:hAnsiTheme="minorHAnsi"/>
                <w:sz w:val="22"/>
                <w:lang w:val="nl-NL" w:eastAsia="en-GB"/>
              </w:rPr>
              <w:t xml:space="preserve">.- </w:t>
            </w:r>
            <w:r w:rsidRPr="00574C09">
              <w:rPr>
                <w:rFonts w:asciiTheme="minorHAnsi" w:eastAsia="Times New Roman" w:hAnsiTheme="minorHAnsi"/>
                <w:sz w:val="22"/>
                <w:lang w:eastAsia="en-GB"/>
              </w:rPr>
              <w:t>Δεκ</w:t>
            </w:r>
            <w:r w:rsidRPr="00574C09">
              <w:rPr>
                <w:rFonts w:asciiTheme="minorHAnsi" w:eastAsia="Times New Roman" w:hAnsiTheme="minorHAnsi"/>
                <w:sz w:val="22"/>
                <w:lang w:val="nl-NL" w:eastAsia="en-GB"/>
              </w:rPr>
              <w:t xml:space="preserve">. </w:t>
            </w:r>
            <w:r w:rsidR="005912DC" w:rsidRPr="00574C09">
              <w:rPr>
                <w:rFonts w:asciiTheme="minorHAnsi" w:eastAsia="Times New Roman" w:hAnsiTheme="minorHAnsi" w:cs="Arial"/>
                <w:sz w:val="20"/>
                <w:szCs w:val="20"/>
                <w:lang w:val="en-GB" w:eastAsia="en-GB"/>
              </w:rPr>
              <w:t>2009</w:t>
            </w:r>
          </w:p>
        </w:tc>
        <w:tc>
          <w:tcPr>
            <w:tcW w:w="2726" w:type="dxa"/>
            <w:tcBorders>
              <w:top w:val="single" w:sz="4" w:space="0" w:color="000000"/>
              <w:left w:val="nil"/>
              <w:bottom w:val="single" w:sz="4" w:space="0" w:color="000000"/>
              <w:right w:val="single" w:sz="4" w:space="0" w:color="000000"/>
            </w:tcBorders>
            <w:shd w:val="clear" w:color="auto" w:fill="auto"/>
            <w:noWrap/>
            <w:vAlign w:val="bottom"/>
            <w:hideMark/>
          </w:tcPr>
          <w:p w:rsidR="005912DC" w:rsidRPr="000555DC" w:rsidRDefault="005912DC" w:rsidP="005912DC">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29,874,825,469</w:t>
            </w:r>
          </w:p>
        </w:tc>
        <w:tc>
          <w:tcPr>
            <w:tcW w:w="2036" w:type="dxa"/>
            <w:tcBorders>
              <w:top w:val="single" w:sz="4" w:space="0" w:color="000000"/>
              <w:left w:val="nil"/>
              <w:bottom w:val="single" w:sz="4" w:space="0" w:color="000000"/>
              <w:right w:val="single" w:sz="4" w:space="0" w:color="000000"/>
            </w:tcBorders>
            <w:shd w:val="clear" w:color="auto" w:fill="auto"/>
            <w:noWrap/>
            <w:vAlign w:val="bottom"/>
            <w:hideMark/>
          </w:tcPr>
          <w:p w:rsidR="005912DC" w:rsidRPr="000555DC" w:rsidRDefault="005912DC" w:rsidP="005912DC">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179,309,105,277</w:t>
            </w:r>
          </w:p>
        </w:tc>
        <w:tc>
          <w:tcPr>
            <w:tcW w:w="2036" w:type="dxa"/>
            <w:tcBorders>
              <w:top w:val="single" w:sz="4" w:space="0" w:color="000000"/>
              <w:left w:val="nil"/>
              <w:bottom w:val="single" w:sz="4" w:space="0" w:color="000000"/>
              <w:right w:val="single" w:sz="4" w:space="0" w:color="000000"/>
            </w:tcBorders>
            <w:shd w:val="clear" w:color="auto" w:fill="auto"/>
            <w:noWrap/>
            <w:vAlign w:val="bottom"/>
            <w:hideMark/>
          </w:tcPr>
          <w:p w:rsidR="005912DC" w:rsidRPr="000555DC" w:rsidRDefault="005912DC" w:rsidP="005912DC">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134,979,215,257</w:t>
            </w:r>
          </w:p>
        </w:tc>
      </w:tr>
      <w:tr w:rsidR="005912DC" w:rsidRPr="000555DC" w:rsidTr="005912DC">
        <w:trPr>
          <w:trHeight w:val="290"/>
        </w:trPr>
        <w:tc>
          <w:tcPr>
            <w:tcW w:w="2584" w:type="dxa"/>
            <w:tcBorders>
              <w:top w:val="nil"/>
              <w:left w:val="single" w:sz="4" w:space="0" w:color="000000"/>
              <w:bottom w:val="single" w:sz="4" w:space="0" w:color="000000"/>
              <w:right w:val="single" w:sz="4" w:space="0" w:color="000000"/>
            </w:tcBorders>
            <w:shd w:val="clear" w:color="000000" w:fill="99CCFF"/>
            <w:noWrap/>
            <w:vAlign w:val="bottom"/>
            <w:hideMark/>
          </w:tcPr>
          <w:p w:rsidR="005912DC" w:rsidRPr="00574C09" w:rsidRDefault="00574C09" w:rsidP="005912DC">
            <w:pPr>
              <w:spacing w:after="0" w:line="240" w:lineRule="auto"/>
              <w:rPr>
                <w:rFonts w:asciiTheme="minorHAnsi" w:eastAsia="Times New Roman" w:hAnsiTheme="minorHAnsi" w:cs="Arial"/>
                <w:sz w:val="20"/>
                <w:szCs w:val="20"/>
                <w:lang w:val="en-GB" w:eastAsia="en-GB"/>
              </w:rPr>
            </w:pPr>
            <w:r w:rsidRPr="00574C09">
              <w:rPr>
                <w:rFonts w:asciiTheme="minorHAnsi" w:eastAsia="Times New Roman" w:hAnsiTheme="minorHAnsi"/>
                <w:sz w:val="22"/>
                <w:lang w:eastAsia="en-GB"/>
              </w:rPr>
              <w:t>Ιαν</w:t>
            </w:r>
            <w:r w:rsidRPr="00574C09">
              <w:rPr>
                <w:rFonts w:asciiTheme="minorHAnsi" w:eastAsia="Times New Roman" w:hAnsiTheme="minorHAnsi"/>
                <w:sz w:val="22"/>
                <w:lang w:val="nl-NL" w:eastAsia="en-GB"/>
              </w:rPr>
              <w:t xml:space="preserve">.- </w:t>
            </w:r>
            <w:r w:rsidRPr="00574C09">
              <w:rPr>
                <w:rFonts w:asciiTheme="minorHAnsi" w:eastAsia="Times New Roman" w:hAnsiTheme="minorHAnsi"/>
                <w:sz w:val="22"/>
                <w:lang w:eastAsia="en-GB"/>
              </w:rPr>
              <w:t>Δεκ</w:t>
            </w:r>
            <w:r w:rsidRPr="00574C09">
              <w:rPr>
                <w:rFonts w:asciiTheme="minorHAnsi" w:eastAsia="Times New Roman" w:hAnsiTheme="minorHAnsi"/>
                <w:sz w:val="22"/>
                <w:lang w:val="nl-NL" w:eastAsia="en-GB"/>
              </w:rPr>
              <w:t>.</w:t>
            </w:r>
            <w:r w:rsidR="005912DC" w:rsidRPr="00574C09">
              <w:rPr>
                <w:rFonts w:asciiTheme="minorHAnsi" w:eastAsia="Times New Roman" w:hAnsiTheme="minorHAnsi" w:cs="Arial"/>
                <w:sz w:val="20"/>
                <w:szCs w:val="20"/>
                <w:lang w:val="en-GB" w:eastAsia="en-GB"/>
              </w:rPr>
              <w:t>. 2010</w:t>
            </w:r>
          </w:p>
        </w:tc>
        <w:tc>
          <w:tcPr>
            <w:tcW w:w="2726" w:type="dxa"/>
            <w:tcBorders>
              <w:top w:val="nil"/>
              <w:left w:val="nil"/>
              <w:bottom w:val="single" w:sz="4" w:space="0" w:color="000000"/>
              <w:right w:val="single" w:sz="4" w:space="0" w:color="000000"/>
            </w:tcBorders>
            <w:shd w:val="clear" w:color="auto" w:fill="auto"/>
            <w:noWrap/>
            <w:vAlign w:val="bottom"/>
            <w:hideMark/>
          </w:tcPr>
          <w:p w:rsidR="005912DC" w:rsidRPr="000555DC" w:rsidRDefault="005912DC" w:rsidP="005912DC">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27,216,133,304</w:t>
            </w:r>
          </w:p>
        </w:tc>
        <w:tc>
          <w:tcPr>
            <w:tcW w:w="2036" w:type="dxa"/>
            <w:tcBorders>
              <w:top w:val="nil"/>
              <w:left w:val="nil"/>
              <w:bottom w:val="single" w:sz="4" w:space="0" w:color="000000"/>
              <w:right w:val="single" w:sz="4" w:space="0" w:color="000000"/>
            </w:tcBorders>
            <w:shd w:val="clear" w:color="auto" w:fill="auto"/>
            <w:noWrap/>
            <w:vAlign w:val="bottom"/>
            <w:hideMark/>
          </w:tcPr>
          <w:p w:rsidR="005912DC" w:rsidRPr="000555DC" w:rsidRDefault="005912DC" w:rsidP="005912DC">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205,421,671,793</w:t>
            </w:r>
          </w:p>
        </w:tc>
        <w:tc>
          <w:tcPr>
            <w:tcW w:w="2036" w:type="dxa"/>
            <w:tcBorders>
              <w:top w:val="nil"/>
              <w:left w:val="nil"/>
              <w:bottom w:val="single" w:sz="4" w:space="0" w:color="000000"/>
              <w:right w:val="single" w:sz="4" w:space="0" w:color="000000"/>
            </w:tcBorders>
            <w:shd w:val="clear" w:color="auto" w:fill="auto"/>
            <w:noWrap/>
            <w:vAlign w:val="bottom"/>
            <w:hideMark/>
          </w:tcPr>
          <w:p w:rsidR="005912DC" w:rsidRPr="000555DC" w:rsidRDefault="005912DC" w:rsidP="005912DC">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151,082,075,653</w:t>
            </w:r>
          </w:p>
        </w:tc>
      </w:tr>
      <w:tr w:rsidR="005912DC" w:rsidRPr="000555DC" w:rsidTr="005912DC">
        <w:trPr>
          <w:trHeight w:val="290"/>
        </w:trPr>
        <w:tc>
          <w:tcPr>
            <w:tcW w:w="2584" w:type="dxa"/>
            <w:tcBorders>
              <w:top w:val="nil"/>
              <w:left w:val="single" w:sz="4" w:space="0" w:color="000000"/>
              <w:bottom w:val="single" w:sz="4" w:space="0" w:color="000000"/>
              <w:right w:val="single" w:sz="4" w:space="0" w:color="000000"/>
            </w:tcBorders>
            <w:shd w:val="clear" w:color="000000" w:fill="99CCFF"/>
            <w:noWrap/>
            <w:vAlign w:val="bottom"/>
            <w:hideMark/>
          </w:tcPr>
          <w:p w:rsidR="005912DC" w:rsidRPr="00574C09" w:rsidRDefault="00574C09" w:rsidP="005912DC">
            <w:pPr>
              <w:spacing w:after="0" w:line="240" w:lineRule="auto"/>
              <w:rPr>
                <w:rFonts w:asciiTheme="minorHAnsi" w:eastAsia="Times New Roman" w:hAnsiTheme="minorHAnsi" w:cs="Arial"/>
                <w:sz w:val="20"/>
                <w:szCs w:val="20"/>
                <w:lang w:val="en-GB" w:eastAsia="en-GB"/>
              </w:rPr>
            </w:pPr>
            <w:r w:rsidRPr="00574C09">
              <w:rPr>
                <w:rFonts w:asciiTheme="minorHAnsi" w:eastAsia="Times New Roman" w:hAnsiTheme="minorHAnsi"/>
                <w:sz w:val="22"/>
                <w:lang w:eastAsia="en-GB"/>
              </w:rPr>
              <w:t>Ιαν</w:t>
            </w:r>
            <w:r w:rsidRPr="00574C09">
              <w:rPr>
                <w:rFonts w:asciiTheme="minorHAnsi" w:eastAsia="Times New Roman" w:hAnsiTheme="minorHAnsi"/>
                <w:sz w:val="22"/>
                <w:lang w:val="nl-NL" w:eastAsia="en-GB"/>
              </w:rPr>
              <w:t xml:space="preserve">.- </w:t>
            </w:r>
            <w:r w:rsidRPr="00574C09">
              <w:rPr>
                <w:rFonts w:asciiTheme="minorHAnsi" w:eastAsia="Times New Roman" w:hAnsiTheme="minorHAnsi"/>
                <w:sz w:val="22"/>
                <w:lang w:eastAsia="en-GB"/>
              </w:rPr>
              <w:t>Δεκ</w:t>
            </w:r>
            <w:r w:rsidRPr="00574C09">
              <w:rPr>
                <w:rFonts w:asciiTheme="minorHAnsi" w:eastAsia="Times New Roman" w:hAnsiTheme="minorHAnsi"/>
                <w:sz w:val="22"/>
                <w:lang w:val="nl-NL" w:eastAsia="en-GB"/>
              </w:rPr>
              <w:t xml:space="preserve">. </w:t>
            </w:r>
            <w:r w:rsidR="005912DC" w:rsidRPr="00574C09">
              <w:rPr>
                <w:rFonts w:asciiTheme="minorHAnsi" w:eastAsia="Times New Roman" w:hAnsiTheme="minorHAnsi" w:cs="Arial"/>
                <w:sz w:val="20"/>
                <w:szCs w:val="20"/>
                <w:lang w:val="en-GB" w:eastAsia="en-GB"/>
              </w:rPr>
              <w:t>2011</w:t>
            </w:r>
          </w:p>
        </w:tc>
        <w:tc>
          <w:tcPr>
            <w:tcW w:w="2726" w:type="dxa"/>
            <w:tcBorders>
              <w:top w:val="nil"/>
              <w:left w:val="nil"/>
              <w:bottom w:val="single" w:sz="4" w:space="0" w:color="000000"/>
              <w:right w:val="single" w:sz="4" w:space="0" w:color="000000"/>
            </w:tcBorders>
            <w:shd w:val="clear" w:color="auto" w:fill="auto"/>
            <w:noWrap/>
            <w:vAlign w:val="bottom"/>
            <w:hideMark/>
          </w:tcPr>
          <w:p w:rsidR="005912DC" w:rsidRPr="000555DC" w:rsidRDefault="005912DC" w:rsidP="005912DC">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25,527,970,518</w:t>
            </w:r>
          </w:p>
        </w:tc>
        <w:tc>
          <w:tcPr>
            <w:tcW w:w="2036" w:type="dxa"/>
            <w:tcBorders>
              <w:top w:val="nil"/>
              <w:left w:val="nil"/>
              <w:bottom w:val="single" w:sz="4" w:space="0" w:color="000000"/>
              <w:right w:val="single" w:sz="4" w:space="0" w:color="000000"/>
            </w:tcBorders>
            <w:shd w:val="clear" w:color="auto" w:fill="auto"/>
            <w:noWrap/>
            <w:vAlign w:val="bottom"/>
            <w:hideMark/>
          </w:tcPr>
          <w:p w:rsidR="005912DC" w:rsidRPr="000555DC" w:rsidRDefault="005912DC" w:rsidP="005912DC">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219,654,658,872</w:t>
            </w:r>
          </w:p>
        </w:tc>
        <w:tc>
          <w:tcPr>
            <w:tcW w:w="2036" w:type="dxa"/>
            <w:tcBorders>
              <w:top w:val="nil"/>
              <w:left w:val="nil"/>
              <w:bottom w:val="single" w:sz="4" w:space="0" w:color="000000"/>
              <w:right w:val="single" w:sz="4" w:space="0" w:color="000000"/>
            </w:tcBorders>
            <w:shd w:val="clear" w:color="auto" w:fill="auto"/>
            <w:noWrap/>
            <w:vAlign w:val="bottom"/>
            <w:hideMark/>
          </w:tcPr>
          <w:p w:rsidR="005912DC" w:rsidRPr="000555DC" w:rsidRDefault="005912DC" w:rsidP="005912DC">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153,256,793,983</w:t>
            </w:r>
          </w:p>
        </w:tc>
      </w:tr>
      <w:tr w:rsidR="005912DC" w:rsidRPr="000555DC" w:rsidTr="005912DC">
        <w:trPr>
          <w:trHeight w:val="290"/>
        </w:trPr>
        <w:tc>
          <w:tcPr>
            <w:tcW w:w="2584" w:type="dxa"/>
            <w:tcBorders>
              <w:top w:val="nil"/>
              <w:left w:val="single" w:sz="4" w:space="0" w:color="000000"/>
              <w:bottom w:val="single" w:sz="4" w:space="0" w:color="000000"/>
              <w:right w:val="single" w:sz="4" w:space="0" w:color="000000"/>
            </w:tcBorders>
            <w:shd w:val="clear" w:color="000000" w:fill="99CCFF"/>
            <w:noWrap/>
            <w:vAlign w:val="bottom"/>
            <w:hideMark/>
          </w:tcPr>
          <w:p w:rsidR="005912DC" w:rsidRPr="00574C09" w:rsidRDefault="00574C09" w:rsidP="005912DC">
            <w:pPr>
              <w:spacing w:after="0" w:line="240" w:lineRule="auto"/>
              <w:rPr>
                <w:rFonts w:asciiTheme="minorHAnsi" w:eastAsia="Times New Roman" w:hAnsiTheme="minorHAnsi" w:cs="Arial"/>
                <w:sz w:val="20"/>
                <w:szCs w:val="20"/>
                <w:lang w:val="en-GB" w:eastAsia="en-GB"/>
              </w:rPr>
            </w:pPr>
            <w:r w:rsidRPr="00574C09">
              <w:rPr>
                <w:rFonts w:asciiTheme="minorHAnsi" w:eastAsia="Times New Roman" w:hAnsiTheme="minorHAnsi"/>
                <w:sz w:val="22"/>
                <w:lang w:eastAsia="en-GB"/>
              </w:rPr>
              <w:t>Ιαν</w:t>
            </w:r>
            <w:r w:rsidRPr="00574C09">
              <w:rPr>
                <w:rFonts w:asciiTheme="minorHAnsi" w:eastAsia="Times New Roman" w:hAnsiTheme="minorHAnsi"/>
                <w:sz w:val="22"/>
                <w:lang w:val="nl-NL" w:eastAsia="en-GB"/>
              </w:rPr>
              <w:t xml:space="preserve">.- </w:t>
            </w:r>
            <w:r w:rsidRPr="00574C09">
              <w:rPr>
                <w:rFonts w:asciiTheme="minorHAnsi" w:eastAsia="Times New Roman" w:hAnsiTheme="minorHAnsi"/>
                <w:sz w:val="22"/>
                <w:lang w:eastAsia="en-GB"/>
              </w:rPr>
              <w:t>Δεκ</w:t>
            </w:r>
            <w:r w:rsidRPr="00574C09">
              <w:rPr>
                <w:rFonts w:asciiTheme="minorHAnsi" w:eastAsia="Times New Roman" w:hAnsiTheme="minorHAnsi"/>
                <w:sz w:val="22"/>
                <w:lang w:val="nl-NL" w:eastAsia="en-GB"/>
              </w:rPr>
              <w:t xml:space="preserve">. </w:t>
            </w:r>
            <w:r w:rsidR="005912DC" w:rsidRPr="00574C09">
              <w:rPr>
                <w:rFonts w:asciiTheme="minorHAnsi" w:eastAsia="Times New Roman" w:hAnsiTheme="minorHAnsi" w:cs="Arial"/>
                <w:sz w:val="20"/>
                <w:szCs w:val="20"/>
                <w:lang w:val="en-GB" w:eastAsia="en-GB"/>
              </w:rPr>
              <w:t>2012</w:t>
            </w:r>
          </w:p>
        </w:tc>
        <w:tc>
          <w:tcPr>
            <w:tcW w:w="2726" w:type="dxa"/>
            <w:tcBorders>
              <w:top w:val="nil"/>
              <w:left w:val="nil"/>
              <w:bottom w:val="single" w:sz="4" w:space="0" w:color="000000"/>
              <w:right w:val="single" w:sz="4" w:space="0" w:color="000000"/>
            </w:tcBorders>
            <w:shd w:val="clear" w:color="auto" w:fill="auto"/>
            <w:noWrap/>
            <w:vAlign w:val="bottom"/>
            <w:hideMark/>
          </w:tcPr>
          <w:p w:rsidR="005912DC" w:rsidRPr="000555DC" w:rsidRDefault="005912DC" w:rsidP="005912DC">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22,724,409,379</w:t>
            </w:r>
          </w:p>
        </w:tc>
        <w:tc>
          <w:tcPr>
            <w:tcW w:w="2036" w:type="dxa"/>
            <w:tcBorders>
              <w:top w:val="nil"/>
              <w:left w:val="nil"/>
              <w:bottom w:val="single" w:sz="4" w:space="0" w:color="000000"/>
              <w:right w:val="single" w:sz="4" w:space="0" w:color="000000"/>
            </w:tcBorders>
            <w:shd w:val="clear" w:color="auto" w:fill="auto"/>
            <w:noWrap/>
            <w:vAlign w:val="bottom"/>
            <w:hideMark/>
          </w:tcPr>
          <w:p w:rsidR="005912DC" w:rsidRPr="000555DC" w:rsidRDefault="005912DC" w:rsidP="005912DC">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205,105,713,523</w:t>
            </w:r>
          </w:p>
        </w:tc>
        <w:tc>
          <w:tcPr>
            <w:tcW w:w="2036" w:type="dxa"/>
            <w:tcBorders>
              <w:top w:val="nil"/>
              <w:left w:val="nil"/>
              <w:bottom w:val="single" w:sz="4" w:space="0" w:color="000000"/>
              <w:right w:val="single" w:sz="4" w:space="0" w:color="000000"/>
            </w:tcBorders>
            <w:shd w:val="clear" w:color="auto" w:fill="auto"/>
            <w:noWrap/>
            <w:vAlign w:val="bottom"/>
            <w:hideMark/>
          </w:tcPr>
          <w:p w:rsidR="005912DC" w:rsidRPr="000555DC" w:rsidRDefault="005912DC" w:rsidP="005912DC">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141,891,020,070</w:t>
            </w:r>
          </w:p>
        </w:tc>
      </w:tr>
      <w:tr w:rsidR="005912DC" w:rsidRPr="000555DC" w:rsidTr="005912DC">
        <w:trPr>
          <w:trHeight w:val="290"/>
        </w:trPr>
        <w:tc>
          <w:tcPr>
            <w:tcW w:w="2584" w:type="dxa"/>
            <w:tcBorders>
              <w:top w:val="nil"/>
              <w:left w:val="single" w:sz="4" w:space="0" w:color="000000"/>
              <w:bottom w:val="single" w:sz="4" w:space="0" w:color="000000"/>
              <w:right w:val="single" w:sz="4" w:space="0" w:color="000000"/>
            </w:tcBorders>
            <w:shd w:val="clear" w:color="000000" w:fill="99CCFF"/>
            <w:noWrap/>
            <w:vAlign w:val="bottom"/>
            <w:hideMark/>
          </w:tcPr>
          <w:p w:rsidR="005912DC" w:rsidRPr="00574C09" w:rsidRDefault="00574C09" w:rsidP="005912DC">
            <w:pPr>
              <w:spacing w:after="0" w:line="240" w:lineRule="auto"/>
              <w:rPr>
                <w:rFonts w:asciiTheme="minorHAnsi" w:eastAsia="Times New Roman" w:hAnsiTheme="minorHAnsi" w:cs="Arial"/>
                <w:sz w:val="20"/>
                <w:szCs w:val="20"/>
                <w:lang w:val="en-GB" w:eastAsia="en-GB"/>
              </w:rPr>
            </w:pPr>
            <w:r w:rsidRPr="00574C09">
              <w:rPr>
                <w:rFonts w:asciiTheme="minorHAnsi" w:eastAsia="Times New Roman" w:hAnsiTheme="minorHAnsi"/>
                <w:sz w:val="22"/>
                <w:lang w:eastAsia="en-GB"/>
              </w:rPr>
              <w:t>Ιαν</w:t>
            </w:r>
            <w:r w:rsidRPr="00574C09">
              <w:rPr>
                <w:rFonts w:asciiTheme="minorHAnsi" w:eastAsia="Times New Roman" w:hAnsiTheme="minorHAnsi"/>
                <w:sz w:val="22"/>
                <w:lang w:val="nl-NL" w:eastAsia="en-GB"/>
              </w:rPr>
              <w:t xml:space="preserve">.- </w:t>
            </w:r>
            <w:r w:rsidRPr="00574C09">
              <w:rPr>
                <w:rFonts w:asciiTheme="minorHAnsi" w:eastAsia="Times New Roman" w:hAnsiTheme="minorHAnsi"/>
                <w:sz w:val="22"/>
                <w:lang w:eastAsia="en-GB"/>
              </w:rPr>
              <w:t>Δεκ</w:t>
            </w:r>
            <w:r w:rsidRPr="00574C09">
              <w:rPr>
                <w:rFonts w:asciiTheme="minorHAnsi" w:eastAsia="Times New Roman" w:hAnsiTheme="minorHAnsi"/>
                <w:sz w:val="22"/>
                <w:lang w:val="nl-NL" w:eastAsia="en-GB"/>
              </w:rPr>
              <w:t xml:space="preserve">. </w:t>
            </w:r>
            <w:r w:rsidR="005912DC" w:rsidRPr="00574C09">
              <w:rPr>
                <w:rFonts w:asciiTheme="minorHAnsi" w:eastAsia="Times New Roman" w:hAnsiTheme="minorHAnsi" w:cs="Arial"/>
                <w:sz w:val="20"/>
                <w:szCs w:val="20"/>
                <w:lang w:val="en-GB" w:eastAsia="en-GB"/>
              </w:rPr>
              <w:t>2013</w:t>
            </w:r>
          </w:p>
        </w:tc>
        <w:tc>
          <w:tcPr>
            <w:tcW w:w="2726" w:type="dxa"/>
            <w:tcBorders>
              <w:top w:val="nil"/>
              <w:left w:val="nil"/>
              <w:bottom w:val="single" w:sz="4" w:space="0" w:color="000000"/>
              <w:right w:val="single" w:sz="4" w:space="0" w:color="000000"/>
            </w:tcBorders>
            <w:shd w:val="clear" w:color="auto" w:fill="auto"/>
            <w:noWrap/>
            <w:vAlign w:val="bottom"/>
            <w:hideMark/>
          </w:tcPr>
          <w:p w:rsidR="005912DC" w:rsidRPr="000555DC" w:rsidRDefault="005912DC" w:rsidP="005912DC">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22,569,780,875</w:t>
            </w:r>
          </w:p>
        </w:tc>
        <w:tc>
          <w:tcPr>
            <w:tcW w:w="2036" w:type="dxa"/>
            <w:tcBorders>
              <w:top w:val="nil"/>
              <w:left w:val="nil"/>
              <w:bottom w:val="single" w:sz="4" w:space="0" w:color="000000"/>
              <w:right w:val="single" w:sz="4" w:space="0" w:color="000000"/>
            </w:tcBorders>
            <w:shd w:val="clear" w:color="auto" w:fill="auto"/>
            <w:noWrap/>
            <w:vAlign w:val="bottom"/>
            <w:hideMark/>
          </w:tcPr>
          <w:p w:rsidR="005912DC" w:rsidRPr="000555DC" w:rsidRDefault="005912DC" w:rsidP="005912DC">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200,808,201,933</w:t>
            </w:r>
          </w:p>
        </w:tc>
        <w:tc>
          <w:tcPr>
            <w:tcW w:w="2036" w:type="dxa"/>
            <w:tcBorders>
              <w:top w:val="nil"/>
              <w:left w:val="nil"/>
              <w:bottom w:val="single" w:sz="4" w:space="0" w:color="000000"/>
              <w:right w:val="single" w:sz="4" w:space="0" w:color="000000"/>
            </w:tcBorders>
            <w:shd w:val="clear" w:color="auto" w:fill="auto"/>
            <w:noWrap/>
            <w:vAlign w:val="bottom"/>
            <w:hideMark/>
          </w:tcPr>
          <w:p w:rsidR="005912DC" w:rsidRPr="000555DC" w:rsidRDefault="005912DC" w:rsidP="005912DC">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142,656,502,481</w:t>
            </w:r>
          </w:p>
        </w:tc>
      </w:tr>
      <w:tr w:rsidR="005912DC" w:rsidRPr="000555DC" w:rsidTr="005912DC">
        <w:trPr>
          <w:trHeight w:val="290"/>
        </w:trPr>
        <w:tc>
          <w:tcPr>
            <w:tcW w:w="2584" w:type="dxa"/>
            <w:tcBorders>
              <w:top w:val="nil"/>
              <w:left w:val="single" w:sz="4" w:space="0" w:color="000000"/>
              <w:bottom w:val="single" w:sz="4" w:space="0" w:color="000000"/>
              <w:right w:val="single" w:sz="4" w:space="0" w:color="000000"/>
            </w:tcBorders>
            <w:shd w:val="clear" w:color="000000" w:fill="99CCFF"/>
            <w:noWrap/>
            <w:vAlign w:val="bottom"/>
            <w:hideMark/>
          </w:tcPr>
          <w:p w:rsidR="005912DC" w:rsidRPr="00574C09" w:rsidRDefault="00574C09" w:rsidP="005912DC">
            <w:pPr>
              <w:spacing w:after="0" w:line="240" w:lineRule="auto"/>
              <w:rPr>
                <w:rFonts w:asciiTheme="minorHAnsi" w:eastAsia="Times New Roman" w:hAnsiTheme="minorHAnsi" w:cs="Arial"/>
                <w:sz w:val="20"/>
                <w:szCs w:val="20"/>
                <w:lang w:val="en-GB" w:eastAsia="en-GB"/>
              </w:rPr>
            </w:pPr>
            <w:r w:rsidRPr="00574C09">
              <w:rPr>
                <w:rFonts w:asciiTheme="minorHAnsi" w:eastAsia="Times New Roman" w:hAnsiTheme="minorHAnsi"/>
                <w:sz w:val="22"/>
                <w:lang w:eastAsia="en-GB"/>
              </w:rPr>
              <w:t>Ιαν</w:t>
            </w:r>
            <w:r w:rsidRPr="00574C09">
              <w:rPr>
                <w:rFonts w:asciiTheme="minorHAnsi" w:eastAsia="Times New Roman" w:hAnsiTheme="minorHAnsi"/>
                <w:sz w:val="22"/>
                <w:lang w:val="nl-NL" w:eastAsia="en-GB"/>
              </w:rPr>
              <w:t xml:space="preserve">.- </w:t>
            </w:r>
            <w:r w:rsidRPr="00574C09">
              <w:rPr>
                <w:rFonts w:asciiTheme="minorHAnsi" w:eastAsia="Times New Roman" w:hAnsiTheme="minorHAnsi"/>
                <w:sz w:val="22"/>
                <w:lang w:eastAsia="en-GB"/>
              </w:rPr>
              <w:t>Δεκ</w:t>
            </w:r>
            <w:r w:rsidRPr="00574C09">
              <w:rPr>
                <w:rFonts w:asciiTheme="minorHAnsi" w:eastAsia="Times New Roman" w:hAnsiTheme="minorHAnsi"/>
                <w:sz w:val="22"/>
                <w:lang w:val="nl-NL" w:eastAsia="en-GB"/>
              </w:rPr>
              <w:t xml:space="preserve">. </w:t>
            </w:r>
            <w:r w:rsidR="005912DC" w:rsidRPr="00574C09">
              <w:rPr>
                <w:rFonts w:asciiTheme="minorHAnsi" w:eastAsia="Times New Roman" w:hAnsiTheme="minorHAnsi" w:cs="Arial"/>
                <w:sz w:val="20"/>
                <w:szCs w:val="20"/>
                <w:lang w:val="en-GB" w:eastAsia="en-GB"/>
              </w:rPr>
              <w:t>2014</w:t>
            </w:r>
          </w:p>
        </w:tc>
        <w:tc>
          <w:tcPr>
            <w:tcW w:w="2726" w:type="dxa"/>
            <w:tcBorders>
              <w:top w:val="nil"/>
              <w:left w:val="nil"/>
              <w:bottom w:val="single" w:sz="4" w:space="0" w:color="000000"/>
              <w:right w:val="single" w:sz="4" w:space="0" w:color="000000"/>
            </w:tcBorders>
            <w:shd w:val="clear" w:color="auto" w:fill="auto"/>
            <w:noWrap/>
            <w:vAlign w:val="bottom"/>
            <w:hideMark/>
          </w:tcPr>
          <w:p w:rsidR="005912DC" w:rsidRPr="000555DC" w:rsidRDefault="005912DC" w:rsidP="005912DC">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23,657,353,549</w:t>
            </w:r>
          </w:p>
        </w:tc>
        <w:tc>
          <w:tcPr>
            <w:tcW w:w="2036" w:type="dxa"/>
            <w:tcBorders>
              <w:top w:val="nil"/>
              <w:left w:val="nil"/>
              <w:bottom w:val="single" w:sz="4" w:space="0" w:color="000000"/>
              <w:right w:val="single" w:sz="4" w:space="0" w:color="000000"/>
            </w:tcBorders>
            <w:shd w:val="clear" w:color="auto" w:fill="auto"/>
            <w:noWrap/>
            <w:vAlign w:val="bottom"/>
            <w:hideMark/>
          </w:tcPr>
          <w:p w:rsidR="005912DC" w:rsidRPr="000555DC" w:rsidRDefault="005912DC" w:rsidP="005912DC">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205,150,185,149</w:t>
            </w:r>
          </w:p>
        </w:tc>
        <w:tc>
          <w:tcPr>
            <w:tcW w:w="2036" w:type="dxa"/>
            <w:tcBorders>
              <w:top w:val="nil"/>
              <w:left w:val="nil"/>
              <w:bottom w:val="single" w:sz="4" w:space="0" w:color="000000"/>
              <w:right w:val="single" w:sz="4" w:space="0" w:color="000000"/>
            </w:tcBorders>
            <w:shd w:val="clear" w:color="auto" w:fill="auto"/>
            <w:noWrap/>
            <w:vAlign w:val="bottom"/>
            <w:hideMark/>
          </w:tcPr>
          <w:p w:rsidR="005912DC" w:rsidRPr="000555DC" w:rsidRDefault="005912DC" w:rsidP="005912DC">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153,554,624,163</w:t>
            </w:r>
          </w:p>
        </w:tc>
      </w:tr>
    </w:tbl>
    <w:p w:rsidR="005912DC" w:rsidRPr="000555DC" w:rsidRDefault="005912DC" w:rsidP="00FE3B04">
      <w:pPr>
        <w:jc w:val="both"/>
        <w:rPr>
          <w:rFonts w:asciiTheme="minorHAnsi" w:hAnsiTheme="minorHAnsi"/>
          <w:szCs w:val="24"/>
        </w:rPr>
      </w:pPr>
    </w:p>
    <w:p w:rsidR="005912DC" w:rsidRPr="000555DC" w:rsidRDefault="005912DC" w:rsidP="00FE3B04">
      <w:pPr>
        <w:jc w:val="both"/>
        <w:rPr>
          <w:rFonts w:asciiTheme="minorHAnsi" w:hAnsiTheme="minorHAnsi"/>
          <w:szCs w:val="24"/>
        </w:rPr>
      </w:pPr>
      <w:r w:rsidRPr="000555DC">
        <w:rPr>
          <w:rFonts w:asciiTheme="minorHAnsi" w:hAnsiTheme="minorHAnsi"/>
          <w:noProof/>
          <w:lang w:eastAsia="el-GR"/>
        </w:rPr>
        <w:drawing>
          <wp:inline distT="0" distB="0" distL="0" distR="0" wp14:anchorId="18485B5A" wp14:editId="2AE54E62">
            <wp:extent cx="5998464" cy="2816352"/>
            <wp:effectExtent l="0" t="0" r="21590" b="222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W w:w="9468" w:type="dxa"/>
        <w:tblInd w:w="93" w:type="dxa"/>
        <w:tblLook w:val="04A0" w:firstRow="1" w:lastRow="0" w:firstColumn="1" w:lastColumn="0" w:noHBand="0" w:noVBand="1"/>
      </w:tblPr>
      <w:tblGrid>
        <w:gridCol w:w="2633"/>
        <w:gridCol w:w="2777"/>
        <w:gridCol w:w="2029"/>
        <w:gridCol w:w="2029"/>
      </w:tblGrid>
      <w:tr w:rsidR="005912DC" w:rsidRPr="000555DC" w:rsidTr="005912DC">
        <w:trPr>
          <w:trHeight w:val="302"/>
        </w:trPr>
        <w:tc>
          <w:tcPr>
            <w:tcW w:w="2633" w:type="dxa"/>
            <w:tcBorders>
              <w:top w:val="single" w:sz="4" w:space="0" w:color="000000"/>
              <w:left w:val="single" w:sz="4" w:space="0" w:color="000000"/>
              <w:bottom w:val="single" w:sz="4" w:space="0" w:color="000000"/>
              <w:right w:val="single" w:sz="4" w:space="0" w:color="000000"/>
            </w:tcBorders>
            <w:shd w:val="clear" w:color="000000" w:fill="95B3D7"/>
            <w:noWrap/>
            <w:vAlign w:val="bottom"/>
            <w:hideMark/>
          </w:tcPr>
          <w:p w:rsidR="005912DC" w:rsidRPr="000555DC" w:rsidRDefault="005912DC" w:rsidP="005912DC">
            <w:pPr>
              <w:spacing w:after="0" w:line="240" w:lineRule="auto"/>
              <w:rPr>
                <w:rFonts w:asciiTheme="minorHAnsi" w:eastAsia="Times New Roman" w:hAnsiTheme="minorHAnsi"/>
                <w:color w:val="FFFFFF"/>
                <w:sz w:val="22"/>
                <w:lang w:val="en-GB" w:eastAsia="en-GB"/>
              </w:rPr>
            </w:pPr>
            <w:proofErr w:type="spellStart"/>
            <w:r w:rsidRPr="000555DC">
              <w:rPr>
                <w:rFonts w:asciiTheme="minorHAnsi" w:eastAsia="Times New Roman" w:hAnsiTheme="minorHAnsi"/>
                <w:color w:val="FFFFFF"/>
                <w:sz w:val="22"/>
                <w:lang w:val="en-GB" w:eastAsia="en-GB"/>
              </w:rPr>
              <w:t>Περίοδος</w:t>
            </w:r>
            <w:proofErr w:type="spellEnd"/>
            <w:r w:rsidRPr="000555DC">
              <w:rPr>
                <w:rFonts w:asciiTheme="minorHAnsi" w:eastAsia="Times New Roman" w:hAnsiTheme="minorHAnsi"/>
                <w:color w:val="FFFFFF"/>
                <w:sz w:val="22"/>
                <w:lang w:val="en-GB" w:eastAsia="en-GB"/>
              </w:rPr>
              <w:t>/</w:t>
            </w:r>
            <w:proofErr w:type="spellStart"/>
            <w:r w:rsidRPr="000555DC">
              <w:rPr>
                <w:rFonts w:asciiTheme="minorHAnsi" w:eastAsia="Times New Roman" w:hAnsiTheme="minorHAnsi"/>
                <w:color w:val="FFFFFF"/>
                <w:sz w:val="22"/>
                <w:lang w:val="en-GB" w:eastAsia="en-GB"/>
              </w:rPr>
              <w:t>Εξ</w:t>
            </w:r>
            <w:proofErr w:type="spellEnd"/>
            <w:r w:rsidRPr="000555DC">
              <w:rPr>
                <w:rFonts w:asciiTheme="minorHAnsi" w:eastAsia="Times New Roman" w:hAnsiTheme="minorHAnsi"/>
                <w:color w:val="FFFFFF"/>
                <w:sz w:val="22"/>
                <w:lang w:val="en-GB" w:eastAsia="en-GB"/>
              </w:rPr>
              <w:t>αγωγέας</w:t>
            </w:r>
          </w:p>
        </w:tc>
        <w:tc>
          <w:tcPr>
            <w:tcW w:w="2777" w:type="dxa"/>
            <w:tcBorders>
              <w:top w:val="nil"/>
              <w:left w:val="nil"/>
              <w:bottom w:val="nil"/>
              <w:right w:val="nil"/>
            </w:tcBorders>
            <w:shd w:val="clear" w:color="000000" w:fill="95B3D7"/>
            <w:noWrap/>
            <w:vAlign w:val="bottom"/>
            <w:hideMark/>
          </w:tcPr>
          <w:p w:rsidR="005912DC" w:rsidRPr="000555DC" w:rsidRDefault="005912DC" w:rsidP="009B0A72">
            <w:pPr>
              <w:spacing w:after="0" w:line="240" w:lineRule="auto"/>
              <w:jc w:val="center"/>
              <w:rPr>
                <w:rFonts w:asciiTheme="minorHAnsi" w:eastAsia="Times New Roman" w:hAnsiTheme="minorHAnsi"/>
                <w:color w:val="FFFFFF"/>
                <w:sz w:val="22"/>
                <w:lang w:val="en-GB" w:eastAsia="en-GB"/>
              </w:rPr>
            </w:pPr>
            <w:proofErr w:type="spellStart"/>
            <w:r w:rsidRPr="000555DC">
              <w:rPr>
                <w:rFonts w:asciiTheme="minorHAnsi" w:eastAsia="Times New Roman" w:hAnsiTheme="minorHAnsi"/>
                <w:color w:val="FFFFFF"/>
                <w:sz w:val="22"/>
                <w:lang w:val="en-GB" w:eastAsia="en-GB"/>
              </w:rPr>
              <w:t>Ελλάδ</w:t>
            </w:r>
            <w:proofErr w:type="spellEnd"/>
            <w:r w:rsidRPr="000555DC">
              <w:rPr>
                <w:rFonts w:asciiTheme="minorHAnsi" w:eastAsia="Times New Roman" w:hAnsiTheme="minorHAnsi"/>
                <w:color w:val="FFFFFF"/>
                <w:sz w:val="22"/>
                <w:lang w:val="en-GB" w:eastAsia="en-GB"/>
              </w:rPr>
              <w:t>α</w:t>
            </w:r>
          </w:p>
        </w:tc>
        <w:tc>
          <w:tcPr>
            <w:tcW w:w="2029" w:type="dxa"/>
            <w:tcBorders>
              <w:top w:val="nil"/>
              <w:left w:val="nil"/>
              <w:bottom w:val="nil"/>
              <w:right w:val="nil"/>
            </w:tcBorders>
            <w:shd w:val="clear" w:color="000000" w:fill="95B3D7"/>
            <w:noWrap/>
            <w:vAlign w:val="bottom"/>
            <w:hideMark/>
          </w:tcPr>
          <w:p w:rsidR="005912DC" w:rsidRPr="000555DC" w:rsidRDefault="005912DC" w:rsidP="009B0A72">
            <w:pPr>
              <w:spacing w:after="0" w:line="240" w:lineRule="auto"/>
              <w:jc w:val="center"/>
              <w:rPr>
                <w:rFonts w:asciiTheme="minorHAnsi" w:eastAsia="Times New Roman" w:hAnsiTheme="minorHAnsi"/>
                <w:color w:val="FFFFFF"/>
                <w:sz w:val="22"/>
                <w:lang w:val="en-GB" w:eastAsia="en-GB"/>
              </w:rPr>
            </w:pPr>
            <w:proofErr w:type="spellStart"/>
            <w:r w:rsidRPr="000555DC">
              <w:rPr>
                <w:rFonts w:asciiTheme="minorHAnsi" w:eastAsia="Times New Roman" w:hAnsiTheme="minorHAnsi"/>
                <w:color w:val="FFFFFF"/>
                <w:sz w:val="22"/>
                <w:lang w:val="en-GB" w:eastAsia="en-GB"/>
              </w:rPr>
              <w:t>Ιτ</w:t>
            </w:r>
            <w:proofErr w:type="spellEnd"/>
            <w:r w:rsidRPr="000555DC">
              <w:rPr>
                <w:rFonts w:asciiTheme="minorHAnsi" w:eastAsia="Times New Roman" w:hAnsiTheme="minorHAnsi"/>
                <w:color w:val="FFFFFF"/>
                <w:sz w:val="22"/>
                <w:lang w:val="en-GB" w:eastAsia="en-GB"/>
              </w:rPr>
              <w:t>αλία</w:t>
            </w:r>
          </w:p>
        </w:tc>
        <w:tc>
          <w:tcPr>
            <w:tcW w:w="2029" w:type="dxa"/>
            <w:tcBorders>
              <w:top w:val="nil"/>
              <w:left w:val="nil"/>
              <w:bottom w:val="nil"/>
              <w:right w:val="nil"/>
            </w:tcBorders>
            <w:shd w:val="clear" w:color="000000" w:fill="95B3D7"/>
            <w:noWrap/>
            <w:vAlign w:val="bottom"/>
            <w:hideMark/>
          </w:tcPr>
          <w:p w:rsidR="005912DC" w:rsidRPr="000555DC" w:rsidRDefault="005912DC" w:rsidP="009B0A72">
            <w:pPr>
              <w:spacing w:after="0" w:line="240" w:lineRule="auto"/>
              <w:jc w:val="center"/>
              <w:rPr>
                <w:rFonts w:asciiTheme="minorHAnsi" w:eastAsia="Times New Roman" w:hAnsiTheme="minorHAnsi"/>
                <w:color w:val="FFFFFF"/>
                <w:sz w:val="22"/>
                <w:lang w:val="en-GB" w:eastAsia="en-GB"/>
              </w:rPr>
            </w:pPr>
            <w:proofErr w:type="spellStart"/>
            <w:r w:rsidRPr="000555DC">
              <w:rPr>
                <w:rFonts w:asciiTheme="minorHAnsi" w:eastAsia="Times New Roman" w:hAnsiTheme="minorHAnsi"/>
                <w:color w:val="FFFFFF"/>
                <w:sz w:val="22"/>
                <w:lang w:val="en-GB" w:eastAsia="en-GB"/>
              </w:rPr>
              <w:t>Ισ</w:t>
            </w:r>
            <w:proofErr w:type="spellEnd"/>
            <w:r w:rsidRPr="000555DC">
              <w:rPr>
                <w:rFonts w:asciiTheme="minorHAnsi" w:eastAsia="Times New Roman" w:hAnsiTheme="minorHAnsi"/>
                <w:color w:val="FFFFFF"/>
                <w:sz w:val="22"/>
                <w:lang w:val="en-GB" w:eastAsia="en-GB"/>
              </w:rPr>
              <w:t>πανία</w:t>
            </w:r>
          </w:p>
        </w:tc>
      </w:tr>
      <w:tr w:rsidR="005912DC" w:rsidRPr="000555DC" w:rsidTr="005912DC">
        <w:trPr>
          <w:trHeight w:val="302"/>
        </w:trPr>
        <w:tc>
          <w:tcPr>
            <w:tcW w:w="2633" w:type="dxa"/>
            <w:tcBorders>
              <w:top w:val="nil"/>
              <w:left w:val="single" w:sz="4" w:space="0" w:color="000000"/>
              <w:bottom w:val="single" w:sz="4" w:space="0" w:color="000000"/>
              <w:right w:val="single" w:sz="4" w:space="0" w:color="000000"/>
            </w:tcBorders>
            <w:shd w:val="clear" w:color="000000" w:fill="99CCFF"/>
            <w:noWrap/>
            <w:vAlign w:val="bottom"/>
            <w:hideMark/>
          </w:tcPr>
          <w:p w:rsidR="005912DC" w:rsidRPr="00574C09" w:rsidRDefault="00574C09" w:rsidP="005912DC">
            <w:pPr>
              <w:spacing w:after="0" w:line="240" w:lineRule="auto"/>
              <w:rPr>
                <w:rFonts w:asciiTheme="minorHAnsi" w:eastAsia="Times New Roman" w:hAnsiTheme="minorHAnsi" w:cs="Arial"/>
                <w:sz w:val="20"/>
                <w:szCs w:val="20"/>
                <w:lang w:val="en-GB" w:eastAsia="en-GB"/>
              </w:rPr>
            </w:pPr>
            <w:r w:rsidRPr="00574C09">
              <w:rPr>
                <w:rFonts w:asciiTheme="minorHAnsi" w:eastAsia="Times New Roman" w:hAnsiTheme="minorHAnsi"/>
                <w:sz w:val="22"/>
                <w:lang w:eastAsia="en-GB"/>
              </w:rPr>
              <w:t>Ιαν</w:t>
            </w:r>
            <w:r w:rsidRPr="00574C09">
              <w:rPr>
                <w:rFonts w:asciiTheme="minorHAnsi" w:eastAsia="Times New Roman" w:hAnsiTheme="minorHAnsi"/>
                <w:sz w:val="22"/>
                <w:lang w:val="nl-NL" w:eastAsia="en-GB"/>
              </w:rPr>
              <w:t xml:space="preserve">.- </w:t>
            </w:r>
            <w:r w:rsidRPr="00574C09">
              <w:rPr>
                <w:rFonts w:asciiTheme="minorHAnsi" w:eastAsia="Times New Roman" w:hAnsiTheme="minorHAnsi"/>
                <w:sz w:val="22"/>
                <w:lang w:eastAsia="en-GB"/>
              </w:rPr>
              <w:t>Δεκ</w:t>
            </w:r>
            <w:r w:rsidRPr="00574C09">
              <w:rPr>
                <w:rFonts w:asciiTheme="minorHAnsi" w:eastAsia="Times New Roman" w:hAnsiTheme="minorHAnsi"/>
                <w:sz w:val="22"/>
                <w:lang w:val="nl-NL" w:eastAsia="en-GB"/>
              </w:rPr>
              <w:t xml:space="preserve">. </w:t>
            </w:r>
            <w:r w:rsidR="005912DC" w:rsidRPr="00574C09">
              <w:rPr>
                <w:rFonts w:asciiTheme="minorHAnsi" w:eastAsia="Times New Roman" w:hAnsiTheme="minorHAnsi" w:cs="Arial"/>
                <w:sz w:val="20"/>
                <w:szCs w:val="20"/>
                <w:lang w:val="en-GB" w:eastAsia="en-GB"/>
              </w:rPr>
              <w:t>2009</w:t>
            </w:r>
          </w:p>
        </w:tc>
        <w:tc>
          <w:tcPr>
            <w:tcW w:w="2777" w:type="dxa"/>
            <w:tcBorders>
              <w:top w:val="single" w:sz="4" w:space="0" w:color="000000"/>
              <w:left w:val="nil"/>
              <w:bottom w:val="single" w:sz="4" w:space="0" w:color="000000"/>
              <w:right w:val="single" w:sz="4" w:space="0" w:color="000000"/>
            </w:tcBorders>
            <w:shd w:val="clear" w:color="auto" w:fill="auto"/>
            <w:noWrap/>
            <w:vAlign w:val="bottom"/>
            <w:hideMark/>
          </w:tcPr>
          <w:p w:rsidR="005912DC" w:rsidRPr="000555DC" w:rsidRDefault="005912DC" w:rsidP="005912DC">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139,697,589</w:t>
            </w:r>
          </w:p>
        </w:tc>
        <w:tc>
          <w:tcPr>
            <w:tcW w:w="2029" w:type="dxa"/>
            <w:tcBorders>
              <w:top w:val="single" w:sz="4" w:space="0" w:color="000000"/>
              <w:left w:val="nil"/>
              <w:bottom w:val="single" w:sz="4" w:space="0" w:color="000000"/>
              <w:right w:val="single" w:sz="4" w:space="0" w:color="000000"/>
            </w:tcBorders>
            <w:shd w:val="clear" w:color="auto" w:fill="auto"/>
            <w:noWrap/>
            <w:vAlign w:val="bottom"/>
            <w:hideMark/>
          </w:tcPr>
          <w:p w:rsidR="005912DC" w:rsidRPr="000555DC" w:rsidRDefault="005912DC" w:rsidP="005912DC">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983,942,350</w:t>
            </w:r>
          </w:p>
        </w:tc>
        <w:tc>
          <w:tcPr>
            <w:tcW w:w="2029" w:type="dxa"/>
            <w:tcBorders>
              <w:top w:val="single" w:sz="4" w:space="0" w:color="000000"/>
              <w:left w:val="nil"/>
              <w:bottom w:val="single" w:sz="4" w:space="0" w:color="000000"/>
              <w:right w:val="single" w:sz="4" w:space="0" w:color="000000"/>
            </w:tcBorders>
            <w:shd w:val="clear" w:color="auto" w:fill="auto"/>
            <w:noWrap/>
            <w:vAlign w:val="bottom"/>
            <w:hideMark/>
          </w:tcPr>
          <w:p w:rsidR="005912DC" w:rsidRPr="000555DC" w:rsidRDefault="005912DC" w:rsidP="005912DC">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698,601,747</w:t>
            </w:r>
          </w:p>
        </w:tc>
      </w:tr>
      <w:tr w:rsidR="005912DC" w:rsidRPr="000555DC" w:rsidTr="005912DC">
        <w:trPr>
          <w:trHeight w:val="302"/>
        </w:trPr>
        <w:tc>
          <w:tcPr>
            <w:tcW w:w="2633" w:type="dxa"/>
            <w:tcBorders>
              <w:top w:val="nil"/>
              <w:left w:val="single" w:sz="4" w:space="0" w:color="000000"/>
              <w:bottom w:val="single" w:sz="4" w:space="0" w:color="000000"/>
              <w:right w:val="single" w:sz="4" w:space="0" w:color="000000"/>
            </w:tcBorders>
            <w:shd w:val="clear" w:color="000000" w:fill="99CCFF"/>
            <w:noWrap/>
            <w:vAlign w:val="bottom"/>
            <w:hideMark/>
          </w:tcPr>
          <w:p w:rsidR="005912DC" w:rsidRPr="00574C09" w:rsidRDefault="00574C09" w:rsidP="005912DC">
            <w:pPr>
              <w:spacing w:after="0" w:line="240" w:lineRule="auto"/>
              <w:rPr>
                <w:rFonts w:asciiTheme="minorHAnsi" w:eastAsia="Times New Roman" w:hAnsiTheme="minorHAnsi" w:cs="Arial"/>
                <w:sz w:val="20"/>
                <w:szCs w:val="20"/>
                <w:lang w:val="en-GB" w:eastAsia="en-GB"/>
              </w:rPr>
            </w:pPr>
            <w:r w:rsidRPr="00574C09">
              <w:rPr>
                <w:rFonts w:asciiTheme="minorHAnsi" w:eastAsia="Times New Roman" w:hAnsiTheme="minorHAnsi"/>
                <w:sz w:val="22"/>
                <w:lang w:eastAsia="en-GB"/>
              </w:rPr>
              <w:t>Ιαν</w:t>
            </w:r>
            <w:r w:rsidRPr="00574C09">
              <w:rPr>
                <w:rFonts w:asciiTheme="minorHAnsi" w:eastAsia="Times New Roman" w:hAnsiTheme="minorHAnsi"/>
                <w:sz w:val="22"/>
                <w:lang w:val="nl-NL" w:eastAsia="en-GB"/>
              </w:rPr>
              <w:t xml:space="preserve">.- </w:t>
            </w:r>
            <w:r w:rsidRPr="00574C09">
              <w:rPr>
                <w:rFonts w:asciiTheme="minorHAnsi" w:eastAsia="Times New Roman" w:hAnsiTheme="minorHAnsi"/>
                <w:sz w:val="22"/>
                <w:lang w:eastAsia="en-GB"/>
              </w:rPr>
              <w:t>Δεκ</w:t>
            </w:r>
            <w:r w:rsidRPr="00574C09">
              <w:rPr>
                <w:rFonts w:asciiTheme="minorHAnsi" w:eastAsia="Times New Roman" w:hAnsiTheme="minorHAnsi"/>
                <w:sz w:val="22"/>
                <w:lang w:val="nl-NL" w:eastAsia="en-GB"/>
              </w:rPr>
              <w:t>.</w:t>
            </w:r>
            <w:r w:rsidR="005912DC" w:rsidRPr="00574C09">
              <w:rPr>
                <w:rFonts w:asciiTheme="minorHAnsi" w:eastAsia="Times New Roman" w:hAnsiTheme="minorHAnsi" w:cs="Arial"/>
                <w:sz w:val="20"/>
                <w:szCs w:val="20"/>
                <w:lang w:val="en-GB" w:eastAsia="en-GB"/>
              </w:rPr>
              <w:t>. 2010</w:t>
            </w:r>
          </w:p>
        </w:tc>
        <w:tc>
          <w:tcPr>
            <w:tcW w:w="2777" w:type="dxa"/>
            <w:tcBorders>
              <w:top w:val="nil"/>
              <w:left w:val="nil"/>
              <w:bottom w:val="single" w:sz="4" w:space="0" w:color="000000"/>
              <w:right w:val="single" w:sz="4" w:space="0" w:color="000000"/>
            </w:tcBorders>
            <w:shd w:val="clear" w:color="auto" w:fill="auto"/>
            <w:noWrap/>
            <w:vAlign w:val="bottom"/>
            <w:hideMark/>
          </w:tcPr>
          <w:p w:rsidR="005912DC" w:rsidRPr="000555DC" w:rsidRDefault="005912DC" w:rsidP="005912DC">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135,590,998</w:t>
            </w:r>
          </w:p>
        </w:tc>
        <w:tc>
          <w:tcPr>
            <w:tcW w:w="2029" w:type="dxa"/>
            <w:tcBorders>
              <w:top w:val="nil"/>
              <w:left w:val="nil"/>
              <w:bottom w:val="single" w:sz="4" w:space="0" w:color="000000"/>
              <w:right w:val="single" w:sz="4" w:space="0" w:color="000000"/>
            </w:tcBorders>
            <w:shd w:val="clear" w:color="auto" w:fill="auto"/>
            <w:noWrap/>
            <w:vAlign w:val="bottom"/>
            <w:hideMark/>
          </w:tcPr>
          <w:p w:rsidR="005912DC" w:rsidRPr="000555DC" w:rsidRDefault="005912DC" w:rsidP="005912DC">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1,111,473,706</w:t>
            </w:r>
          </w:p>
        </w:tc>
        <w:tc>
          <w:tcPr>
            <w:tcW w:w="2029" w:type="dxa"/>
            <w:tcBorders>
              <w:top w:val="nil"/>
              <w:left w:val="nil"/>
              <w:bottom w:val="single" w:sz="4" w:space="0" w:color="000000"/>
              <w:right w:val="single" w:sz="4" w:space="0" w:color="000000"/>
            </w:tcBorders>
            <w:shd w:val="clear" w:color="auto" w:fill="auto"/>
            <w:noWrap/>
            <w:vAlign w:val="bottom"/>
            <w:hideMark/>
          </w:tcPr>
          <w:p w:rsidR="005912DC" w:rsidRPr="000555DC" w:rsidRDefault="005912DC" w:rsidP="005912DC">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775,014,565</w:t>
            </w:r>
          </w:p>
        </w:tc>
      </w:tr>
      <w:tr w:rsidR="005912DC" w:rsidRPr="000555DC" w:rsidTr="005912DC">
        <w:trPr>
          <w:trHeight w:val="302"/>
        </w:trPr>
        <w:tc>
          <w:tcPr>
            <w:tcW w:w="2633" w:type="dxa"/>
            <w:tcBorders>
              <w:top w:val="nil"/>
              <w:left w:val="single" w:sz="4" w:space="0" w:color="000000"/>
              <w:bottom w:val="single" w:sz="4" w:space="0" w:color="000000"/>
              <w:right w:val="single" w:sz="4" w:space="0" w:color="000000"/>
            </w:tcBorders>
            <w:shd w:val="clear" w:color="000000" w:fill="99CCFF"/>
            <w:noWrap/>
            <w:vAlign w:val="bottom"/>
            <w:hideMark/>
          </w:tcPr>
          <w:p w:rsidR="005912DC" w:rsidRPr="00574C09" w:rsidRDefault="00574C09" w:rsidP="005912DC">
            <w:pPr>
              <w:spacing w:after="0" w:line="240" w:lineRule="auto"/>
              <w:rPr>
                <w:rFonts w:asciiTheme="minorHAnsi" w:eastAsia="Times New Roman" w:hAnsiTheme="minorHAnsi" w:cs="Arial"/>
                <w:sz w:val="20"/>
                <w:szCs w:val="20"/>
                <w:lang w:val="en-GB" w:eastAsia="en-GB"/>
              </w:rPr>
            </w:pPr>
            <w:r w:rsidRPr="00574C09">
              <w:rPr>
                <w:rFonts w:asciiTheme="minorHAnsi" w:eastAsia="Times New Roman" w:hAnsiTheme="minorHAnsi"/>
                <w:sz w:val="22"/>
                <w:lang w:eastAsia="en-GB"/>
              </w:rPr>
              <w:t>Ιαν</w:t>
            </w:r>
            <w:r w:rsidRPr="00574C09">
              <w:rPr>
                <w:rFonts w:asciiTheme="minorHAnsi" w:eastAsia="Times New Roman" w:hAnsiTheme="minorHAnsi"/>
                <w:sz w:val="22"/>
                <w:lang w:val="nl-NL" w:eastAsia="en-GB"/>
              </w:rPr>
              <w:t xml:space="preserve">.- </w:t>
            </w:r>
            <w:r w:rsidRPr="00574C09">
              <w:rPr>
                <w:rFonts w:asciiTheme="minorHAnsi" w:eastAsia="Times New Roman" w:hAnsiTheme="minorHAnsi"/>
                <w:sz w:val="22"/>
                <w:lang w:eastAsia="en-GB"/>
              </w:rPr>
              <w:t>Δεκ</w:t>
            </w:r>
            <w:r w:rsidRPr="00574C09">
              <w:rPr>
                <w:rFonts w:asciiTheme="minorHAnsi" w:eastAsia="Times New Roman" w:hAnsiTheme="minorHAnsi"/>
                <w:sz w:val="22"/>
                <w:lang w:val="nl-NL" w:eastAsia="en-GB"/>
              </w:rPr>
              <w:t xml:space="preserve">. </w:t>
            </w:r>
            <w:r w:rsidR="005912DC" w:rsidRPr="00574C09">
              <w:rPr>
                <w:rFonts w:asciiTheme="minorHAnsi" w:eastAsia="Times New Roman" w:hAnsiTheme="minorHAnsi" w:cs="Arial"/>
                <w:sz w:val="20"/>
                <w:szCs w:val="20"/>
                <w:lang w:val="en-GB" w:eastAsia="en-GB"/>
              </w:rPr>
              <w:t>2011</w:t>
            </w:r>
          </w:p>
        </w:tc>
        <w:tc>
          <w:tcPr>
            <w:tcW w:w="2777" w:type="dxa"/>
            <w:tcBorders>
              <w:top w:val="nil"/>
              <w:left w:val="nil"/>
              <w:bottom w:val="single" w:sz="4" w:space="0" w:color="000000"/>
              <w:right w:val="single" w:sz="4" w:space="0" w:color="000000"/>
            </w:tcBorders>
            <w:shd w:val="clear" w:color="auto" w:fill="auto"/>
            <w:noWrap/>
            <w:vAlign w:val="bottom"/>
            <w:hideMark/>
          </w:tcPr>
          <w:p w:rsidR="005912DC" w:rsidRPr="000555DC" w:rsidRDefault="005912DC" w:rsidP="005912DC">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133,979,327</w:t>
            </w:r>
          </w:p>
        </w:tc>
        <w:tc>
          <w:tcPr>
            <w:tcW w:w="2029" w:type="dxa"/>
            <w:tcBorders>
              <w:top w:val="nil"/>
              <w:left w:val="nil"/>
              <w:bottom w:val="single" w:sz="4" w:space="0" w:color="000000"/>
              <w:right w:val="single" w:sz="4" w:space="0" w:color="000000"/>
            </w:tcBorders>
            <w:shd w:val="clear" w:color="auto" w:fill="auto"/>
            <w:noWrap/>
            <w:vAlign w:val="bottom"/>
            <w:hideMark/>
          </w:tcPr>
          <w:p w:rsidR="005912DC" w:rsidRPr="000555DC" w:rsidRDefault="005912DC" w:rsidP="005912DC">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1,125,855,340</w:t>
            </w:r>
          </w:p>
        </w:tc>
        <w:tc>
          <w:tcPr>
            <w:tcW w:w="2029" w:type="dxa"/>
            <w:tcBorders>
              <w:top w:val="nil"/>
              <w:left w:val="nil"/>
              <w:bottom w:val="single" w:sz="4" w:space="0" w:color="000000"/>
              <w:right w:val="single" w:sz="4" w:space="0" w:color="000000"/>
            </w:tcBorders>
            <w:shd w:val="clear" w:color="auto" w:fill="auto"/>
            <w:noWrap/>
            <w:vAlign w:val="bottom"/>
            <w:hideMark/>
          </w:tcPr>
          <w:p w:rsidR="005912DC" w:rsidRPr="000555DC" w:rsidRDefault="005912DC" w:rsidP="005912DC">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723,777,389</w:t>
            </w:r>
          </w:p>
        </w:tc>
      </w:tr>
      <w:tr w:rsidR="005912DC" w:rsidRPr="000555DC" w:rsidTr="005912DC">
        <w:trPr>
          <w:trHeight w:val="302"/>
        </w:trPr>
        <w:tc>
          <w:tcPr>
            <w:tcW w:w="2633" w:type="dxa"/>
            <w:tcBorders>
              <w:top w:val="nil"/>
              <w:left w:val="single" w:sz="4" w:space="0" w:color="000000"/>
              <w:bottom w:val="single" w:sz="4" w:space="0" w:color="000000"/>
              <w:right w:val="single" w:sz="4" w:space="0" w:color="000000"/>
            </w:tcBorders>
            <w:shd w:val="clear" w:color="000000" w:fill="99CCFF"/>
            <w:noWrap/>
            <w:vAlign w:val="bottom"/>
            <w:hideMark/>
          </w:tcPr>
          <w:p w:rsidR="005912DC" w:rsidRPr="00574C09" w:rsidRDefault="00574C09" w:rsidP="005912DC">
            <w:pPr>
              <w:spacing w:after="0" w:line="240" w:lineRule="auto"/>
              <w:rPr>
                <w:rFonts w:asciiTheme="minorHAnsi" w:eastAsia="Times New Roman" w:hAnsiTheme="minorHAnsi" w:cs="Arial"/>
                <w:sz w:val="20"/>
                <w:szCs w:val="20"/>
                <w:lang w:val="en-GB" w:eastAsia="en-GB"/>
              </w:rPr>
            </w:pPr>
            <w:r w:rsidRPr="00574C09">
              <w:rPr>
                <w:rFonts w:asciiTheme="minorHAnsi" w:eastAsia="Times New Roman" w:hAnsiTheme="minorHAnsi"/>
                <w:sz w:val="22"/>
                <w:lang w:eastAsia="en-GB"/>
              </w:rPr>
              <w:t>Ιαν</w:t>
            </w:r>
            <w:r w:rsidRPr="00574C09">
              <w:rPr>
                <w:rFonts w:asciiTheme="minorHAnsi" w:eastAsia="Times New Roman" w:hAnsiTheme="minorHAnsi"/>
                <w:sz w:val="22"/>
                <w:lang w:val="nl-NL" w:eastAsia="en-GB"/>
              </w:rPr>
              <w:t xml:space="preserve">.- </w:t>
            </w:r>
            <w:r w:rsidRPr="00574C09">
              <w:rPr>
                <w:rFonts w:asciiTheme="minorHAnsi" w:eastAsia="Times New Roman" w:hAnsiTheme="minorHAnsi"/>
                <w:sz w:val="22"/>
                <w:lang w:eastAsia="en-GB"/>
              </w:rPr>
              <w:t>Δεκ</w:t>
            </w:r>
            <w:r w:rsidRPr="00574C09">
              <w:rPr>
                <w:rFonts w:asciiTheme="minorHAnsi" w:eastAsia="Times New Roman" w:hAnsiTheme="minorHAnsi"/>
                <w:sz w:val="22"/>
                <w:lang w:val="nl-NL" w:eastAsia="en-GB"/>
              </w:rPr>
              <w:t>.</w:t>
            </w:r>
            <w:r w:rsidR="005912DC" w:rsidRPr="00574C09">
              <w:rPr>
                <w:rFonts w:asciiTheme="minorHAnsi" w:eastAsia="Times New Roman" w:hAnsiTheme="minorHAnsi" w:cs="Arial"/>
                <w:sz w:val="20"/>
                <w:szCs w:val="20"/>
                <w:lang w:val="en-GB" w:eastAsia="en-GB"/>
              </w:rPr>
              <w:t>. 2012</w:t>
            </w:r>
          </w:p>
        </w:tc>
        <w:tc>
          <w:tcPr>
            <w:tcW w:w="2777" w:type="dxa"/>
            <w:tcBorders>
              <w:top w:val="nil"/>
              <w:left w:val="nil"/>
              <w:bottom w:val="single" w:sz="4" w:space="0" w:color="000000"/>
              <w:right w:val="single" w:sz="4" w:space="0" w:color="000000"/>
            </w:tcBorders>
            <w:shd w:val="clear" w:color="auto" w:fill="auto"/>
            <w:noWrap/>
            <w:vAlign w:val="bottom"/>
            <w:hideMark/>
          </w:tcPr>
          <w:p w:rsidR="005912DC" w:rsidRPr="000555DC" w:rsidRDefault="005912DC" w:rsidP="005912DC">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118,561,203</w:t>
            </w:r>
          </w:p>
        </w:tc>
        <w:tc>
          <w:tcPr>
            <w:tcW w:w="2029" w:type="dxa"/>
            <w:tcBorders>
              <w:top w:val="nil"/>
              <w:left w:val="nil"/>
              <w:bottom w:val="single" w:sz="4" w:space="0" w:color="000000"/>
              <w:right w:val="single" w:sz="4" w:space="0" w:color="000000"/>
            </w:tcBorders>
            <w:shd w:val="clear" w:color="auto" w:fill="auto"/>
            <w:noWrap/>
            <w:vAlign w:val="bottom"/>
            <w:hideMark/>
          </w:tcPr>
          <w:p w:rsidR="005912DC" w:rsidRPr="000555DC" w:rsidRDefault="005912DC" w:rsidP="005912DC">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1,050,404,774</w:t>
            </w:r>
          </w:p>
        </w:tc>
        <w:tc>
          <w:tcPr>
            <w:tcW w:w="2029" w:type="dxa"/>
            <w:tcBorders>
              <w:top w:val="nil"/>
              <w:left w:val="nil"/>
              <w:bottom w:val="single" w:sz="4" w:space="0" w:color="000000"/>
              <w:right w:val="single" w:sz="4" w:space="0" w:color="000000"/>
            </w:tcBorders>
            <w:shd w:val="clear" w:color="auto" w:fill="auto"/>
            <w:noWrap/>
            <w:vAlign w:val="bottom"/>
            <w:hideMark/>
          </w:tcPr>
          <w:p w:rsidR="005912DC" w:rsidRPr="000555DC" w:rsidRDefault="005912DC" w:rsidP="005912DC">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679,306,423</w:t>
            </w:r>
          </w:p>
        </w:tc>
      </w:tr>
      <w:tr w:rsidR="005912DC" w:rsidRPr="000555DC" w:rsidTr="005912DC">
        <w:trPr>
          <w:trHeight w:val="302"/>
        </w:trPr>
        <w:tc>
          <w:tcPr>
            <w:tcW w:w="2633" w:type="dxa"/>
            <w:tcBorders>
              <w:top w:val="nil"/>
              <w:left w:val="single" w:sz="4" w:space="0" w:color="000000"/>
              <w:bottom w:val="single" w:sz="4" w:space="0" w:color="000000"/>
              <w:right w:val="single" w:sz="4" w:space="0" w:color="000000"/>
            </w:tcBorders>
            <w:shd w:val="clear" w:color="000000" w:fill="99CCFF"/>
            <w:noWrap/>
            <w:vAlign w:val="bottom"/>
            <w:hideMark/>
          </w:tcPr>
          <w:p w:rsidR="005912DC" w:rsidRPr="00574C09" w:rsidRDefault="00574C09" w:rsidP="005912DC">
            <w:pPr>
              <w:spacing w:after="0" w:line="240" w:lineRule="auto"/>
              <w:rPr>
                <w:rFonts w:asciiTheme="minorHAnsi" w:eastAsia="Times New Roman" w:hAnsiTheme="minorHAnsi" w:cs="Arial"/>
                <w:sz w:val="20"/>
                <w:szCs w:val="20"/>
                <w:lang w:val="en-GB" w:eastAsia="en-GB"/>
              </w:rPr>
            </w:pPr>
            <w:r w:rsidRPr="00574C09">
              <w:rPr>
                <w:rFonts w:asciiTheme="minorHAnsi" w:eastAsia="Times New Roman" w:hAnsiTheme="minorHAnsi"/>
                <w:sz w:val="22"/>
                <w:lang w:eastAsia="en-GB"/>
              </w:rPr>
              <w:t>Ιαν</w:t>
            </w:r>
            <w:r w:rsidRPr="00574C09">
              <w:rPr>
                <w:rFonts w:asciiTheme="minorHAnsi" w:eastAsia="Times New Roman" w:hAnsiTheme="minorHAnsi"/>
                <w:sz w:val="22"/>
                <w:lang w:val="nl-NL" w:eastAsia="en-GB"/>
              </w:rPr>
              <w:t xml:space="preserve">.- </w:t>
            </w:r>
            <w:r w:rsidRPr="00574C09">
              <w:rPr>
                <w:rFonts w:asciiTheme="minorHAnsi" w:eastAsia="Times New Roman" w:hAnsiTheme="minorHAnsi"/>
                <w:sz w:val="22"/>
                <w:lang w:eastAsia="en-GB"/>
              </w:rPr>
              <w:t>Δεκ</w:t>
            </w:r>
            <w:r w:rsidRPr="00574C09">
              <w:rPr>
                <w:rFonts w:asciiTheme="minorHAnsi" w:eastAsia="Times New Roman" w:hAnsiTheme="minorHAnsi"/>
                <w:sz w:val="22"/>
                <w:lang w:val="nl-NL" w:eastAsia="en-GB"/>
              </w:rPr>
              <w:t xml:space="preserve">. </w:t>
            </w:r>
            <w:r w:rsidR="005912DC" w:rsidRPr="00574C09">
              <w:rPr>
                <w:rFonts w:asciiTheme="minorHAnsi" w:eastAsia="Times New Roman" w:hAnsiTheme="minorHAnsi" w:cs="Arial"/>
                <w:sz w:val="20"/>
                <w:szCs w:val="20"/>
                <w:lang w:val="en-GB" w:eastAsia="en-GB"/>
              </w:rPr>
              <w:t>2013</w:t>
            </w:r>
          </w:p>
        </w:tc>
        <w:tc>
          <w:tcPr>
            <w:tcW w:w="2777" w:type="dxa"/>
            <w:tcBorders>
              <w:top w:val="nil"/>
              <w:left w:val="nil"/>
              <w:bottom w:val="single" w:sz="4" w:space="0" w:color="000000"/>
              <w:right w:val="single" w:sz="4" w:space="0" w:color="000000"/>
            </w:tcBorders>
            <w:shd w:val="clear" w:color="auto" w:fill="auto"/>
            <w:noWrap/>
            <w:vAlign w:val="bottom"/>
            <w:hideMark/>
          </w:tcPr>
          <w:p w:rsidR="005912DC" w:rsidRPr="000555DC" w:rsidRDefault="005912DC" w:rsidP="005912DC">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130,998,691</w:t>
            </w:r>
          </w:p>
        </w:tc>
        <w:tc>
          <w:tcPr>
            <w:tcW w:w="2029" w:type="dxa"/>
            <w:tcBorders>
              <w:top w:val="nil"/>
              <w:left w:val="nil"/>
              <w:bottom w:val="single" w:sz="4" w:space="0" w:color="000000"/>
              <w:right w:val="single" w:sz="4" w:space="0" w:color="000000"/>
            </w:tcBorders>
            <w:shd w:val="clear" w:color="auto" w:fill="auto"/>
            <w:noWrap/>
            <w:vAlign w:val="bottom"/>
            <w:hideMark/>
          </w:tcPr>
          <w:p w:rsidR="005912DC" w:rsidRPr="000555DC" w:rsidRDefault="005912DC" w:rsidP="005912DC">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1,055,909,743</w:t>
            </w:r>
          </w:p>
        </w:tc>
        <w:tc>
          <w:tcPr>
            <w:tcW w:w="2029" w:type="dxa"/>
            <w:tcBorders>
              <w:top w:val="nil"/>
              <w:left w:val="nil"/>
              <w:bottom w:val="single" w:sz="4" w:space="0" w:color="000000"/>
              <w:right w:val="single" w:sz="4" w:space="0" w:color="000000"/>
            </w:tcBorders>
            <w:shd w:val="clear" w:color="auto" w:fill="auto"/>
            <w:noWrap/>
            <w:vAlign w:val="bottom"/>
            <w:hideMark/>
          </w:tcPr>
          <w:p w:rsidR="005912DC" w:rsidRPr="000555DC" w:rsidRDefault="005912DC" w:rsidP="005912DC">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707,178,703</w:t>
            </w:r>
          </w:p>
        </w:tc>
      </w:tr>
      <w:tr w:rsidR="005912DC" w:rsidRPr="000555DC" w:rsidTr="005912DC">
        <w:trPr>
          <w:trHeight w:val="302"/>
        </w:trPr>
        <w:tc>
          <w:tcPr>
            <w:tcW w:w="2633" w:type="dxa"/>
            <w:tcBorders>
              <w:top w:val="nil"/>
              <w:left w:val="single" w:sz="4" w:space="0" w:color="000000"/>
              <w:bottom w:val="single" w:sz="4" w:space="0" w:color="000000"/>
              <w:right w:val="single" w:sz="4" w:space="0" w:color="000000"/>
            </w:tcBorders>
            <w:shd w:val="clear" w:color="000000" w:fill="99CCFF"/>
            <w:noWrap/>
            <w:vAlign w:val="bottom"/>
            <w:hideMark/>
          </w:tcPr>
          <w:p w:rsidR="005912DC" w:rsidRPr="00574C09" w:rsidRDefault="00574C09" w:rsidP="005912DC">
            <w:pPr>
              <w:spacing w:after="0" w:line="240" w:lineRule="auto"/>
              <w:rPr>
                <w:rFonts w:asciiTheme="minorHAnsi" w:eastAsia="Times New Roman" w:hAnsiTheme="minorHAnsi" w:cs="Arial"/>
                <w:sz w:val="20"/>
                <w:szCs w:val="20"/>
                <w:lang w:val="en-GB" w:eastAsia="en-GB"/>
              </w:rPr>
            </w:pPr>
            <w:r w:rsidRPr="00574C09">
              <w:rPr>
                <w:rFonts w:asciiTheme="minorHAnsi" w:eastAsia="Times New Roman" w:hAnsiTheme="minorHAnsi"/>
                <w:sz w:val="22"/>
                <w:lang w:eastAsia="en-GB"/>
              </w:rPr>
              <w:t>Ιαν</w:t>
            </w:r>
            <w:r w:rsidRPr="00574C09">
              <w:rPr>
                <w:rFonts w:asciiTheme="minorHAnsi" w:eastAsia="Times New Roman" w:hAnsiTheme="minorHAnsi"/>
                <w:sz w:val="22"/>
                <w:lang w:val="nl-NL" w:eastAsia="en-GB"/>
              </w:rPr>
              <w:t xml:space="preserve">.- </w:t>
            </w:r>
            <w:r w:rsidRPr="00574C09">
              <w:rPr>
                <w:rFonts w:asciiTheme="minorHAnsi" w:eastAsia="Times New Roman" w:hAnsiTheme="minorHAnsi"/>
                <w:sz w:val="22"/>
                <w:lang w:eastAsia="en-GB"/>
              </w:rPr>
              <w:t>Δεκ</w:t>
            </w:r>
            <w:r w:rsidRPr="00574C09">
              <w:rPr>
                <w:rFonts w:asciiTheme="minorHAnsi" w:eastAsia="Times New Roman" w:hAnsiTheme="minorHAnsi"/>
                <w:sz w:val="22"/>
                <w:lang w:val="nl-NL" w:eastAsia="en-GB"/>
              </w:rPr>
              <w:t xml:space="preserve">. </w:t>
            </w:r>
            <w:r w:rsidR="005912DC" w:rsidRPr="00574C09">
              <w:rPr>
                <w:rFonts w:asciiTheme="minorHAnsi" w:eastAsia="Times New Roman" w:hAnsiTheme="minorHAnsi" w:cs="Arial"/>
                <w:sz w:val="20"/>
                <w:szCs w:val="20"/>
                <w:lang w:val="en-GB" w:eastAsia="en-GB"/>
              </w:rPr>
              <w:t>2014</w:t>
            </w:r>
          </w:p>
        </w:tc>
        <w:tc>
          <w:tcPr>
            <w:tcW w:w="2777" w:type="dxa"/>
            <w:tcBorders>
              <w:top w:val="nil"/>
              <w:left w:val="nil"/>
              <w:bottom w:val="single" w:sz="4" w:space="0" w:color="000000"/>
              <w:right w:val="single" w:sz="4" w:space="0" w:color="000000"/>
            </w:tcBorders>
            <w:shd w:val="clear" w:color="auto" w:fill="auto"/>
            <w:noWrap/>
            <w:vAlign w:val="bottom"/>
            <w:hideMark/>
          </w:tcPr>
          <w:p w:rsidR="005912DC" w:rsidRPr="000555DC" w:rsidRDefault="005912DC" w:rsidP="005912DC">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130,546,151</w:t>
            </w:r>
          </w:p>
        </w:tc>
        <w:tc>
          <w:tcPr>
            <w:tcW w:w="2029" w:type="dxa"/>
            <w:tcBorders>
              <w:top w:val="nil"/>
              <w:left w:val="nil"/>
              <w:bottom w:val="single" w:sz="4" w:space="0" w:color="000000"/>
              <w:right w:val="single" w:sz="4" w:space="0" w:color="000000"/>
            </w:tcBorders>
            <w:shd w:val="clear" w:color="auto" w:fill="auto"/>
            <w:noWrap/>
            <w:vAlign w:val="bottom"/>
            <w:hideMark/>
          </w:tcPr>
          <w:p w:rsidR="005912DC" w:rsidRPr="000555DC" w:rsidRDefault="005912DC" w:rsidP="005912DC">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1,085,492,753</w:t>
            </w:r>
          </w:p>
        </w:tc>
        <w:tc>
          <w:tcPr>
            <w:tcW w:w="2029" w:type="dxa"/>
            <w:tcBorders>
              <w:top w:val="nil"/>
              <w:left w:val="nil"/>
              <w:bottom w:val="single" w:sz="4" w:space="0" w:color="000000"/>
              <w:right w:val="single" w:sz="4" w:space="0" w:color="000000"/>
            </w:tcBorders>
            <w:shd w:val="clear" w:color="auto" w:fill="auto"/>
            <w:noWrap/>
            <w:vAlign w:val="bottom"/>
            <w:hideMark/>
          </w:tcPr>
          <w:p w:rsidR="005912DC" w:rsidRPr="000555DC" w:rsidRDefault="005912DC" w:rsidP="005912DC">
            <w:pPr>
              <w:spacing w:after="0" w:line="240" w:lineRule="auto"/>
              <w:jc w:val="right"/>
              <w:rPr>
                <w:rFonts w:asciiTheme="minorHAnsi" w:eastAsia="Times New Roman" w:hAnsiTheme="minorHAnsi" w:cs="Arial"/>
                <w:sz w:val="20"/>
                <w:szCs w:val="20"/>
                <w:lang w:val="en-GB" w:eastAsia="en-GB"/>
              </w:rPr>
            </w:pPr>
            <w:r w:rsidRPr="000555DC">
              <w:rPr>
                <w:rFonts w:asciiTheme="minorHAnsi" w:eastAsia="Times New Roman" w:hAnsiTheme="minorHAnsi" w:cs="Arial"/>
                <w:sz w:val="20"/>
                <w:szCs w:val="20"/>
                <w:lang w:val="en-GB" w:eastAsia="en-GB"/>
              </w:rPr>
              <w:t>748,388,015</w:t>
            </w:r>
          </w:p>
        </w:tc>
      </w:tr>
    </w:tbl>
    <w:p w:rsidR="009847CF" w:rsidRPr="000555DC" w:rsidRDefault="005213BD" w:rsidP="00FE3B04">
      <w:pPr>
        <w:jc w:val="both"/>
        <w:rPr>
          <w:rFonts w:asciiTheme="minorHAnsi" w:hAnsiTheme="minorHAnsi"/>
          <w:szCs w:val="24"/>
        </w:rPr>
      </w:pPr>
      <w:r w:rsidRPr="000555DC">
        <w:rPr>
          <w:rFonts w:asciiTheme="minorHAnsi" w:hAnsiTheme="minorHAnsi"/>
          <w:szCs w:val="24"/>
        </w:rPr>
        <w:lastRenderedPageBreak/>
        <w:t>ΚΑΤΑΣΤΗΜΑΤΑ</w:t>
      </w:r>
    </w:p>
    <w:p w:rsidR="00E92050" w:rsidRPr="000555DC" w:rsidRDefault="00244A82" w:rsidP="00FE3B04">
      <w:pPr>
        <w:jc w:val="both"/>
        <w:rPr>
          <w:rFonts w:asciiTheme="minorHAnsi" w:hAnsiTheme="minorHAnsi"/>
          <w:szCs w:val="24"/>
        </w:rPr>
      </w:pPr>
      <w:r w:rsidRPr="000555DC">
        <w:rPr>
          <w:rFonts w:asciiTheme="minorHAnsi" w:hAnsiTheme="minorHAnsi"/>
          <w:szCs w:val="24"/>
        </w:rPr>
        <w:t xml:space="preserve">Οι μεγαλύτερες </w:t>
      </w:r>
      <w:r w:rsidR="000555DC" w:rsidRPr="000555DC">
        <w:rPr>
          <w:rFonts w:asciiTheme="minorHAnsi" w:hAnsiTheme="minorHAnsi"/>
          <w:szCs w:val="24"/>
        </w:rPr>
        <w:t>λιανεμπορικές</w:t>
      </w:r>
      <w:r w:rsidRPr="000555DC">
        <w:rPr>
          <w:rFonts w:asciiTheme="minorHAnsi" w:hAnsiTheme="minorHAnsi"/>
          <w:szCs w:val="24"/>
        </w:rPr>
        <w:t xml:space="preserve"> αλυσίδες στην Ολλανδία είναι:</w:t>
      </w:r>
    </w:p>
    <w:p w:rsidR="00244A82" w:rsidRPr="000555DC" w:rsidRDefault="00244A82" w:rsidP="00FE3B04">
      <w:pPr>
        <w:pStyle w:val="ListParagraph"/>
        <w:numPr>
          <w:ilvl w:val="0"/>
          <w:numId w:val="2"/>
        </w:numPr>
        <w:jc w:val="both"/>
        <w:rPr>
          <w:rFonts w:asciiTheme="minorHAnsi" w:hAnsiTheme="minorHAnsi"/>
          <w:szCs w:val="24"/>
        </w:rPr>
      </w:pPr>
      <w:r w:rsidRPr="000555DC">
        <w:rPr>
          <w:rFonts w:asciiTheme="minorHAnsi" w:hAnsiTheme="minorHAnsi"/>
          <w:szCs w:val="24"/>
          <w:lang w:val="en-US"/>
        </w:rPr>
        <w:t xml:space="preserve">Albert </w:t>
      </w:r>
      <w:proofErr w:type="spellStart"/>
      <w:r w:rsidRPr="000555DC">
        <w:rPr>
          <w:rFonts w:asciiTheme="minorHAnsi" w:hAnsiTheme="minorHAnsi"/>
          <w:szCs w:val="24"/>
          <w:lang w:val="en-US"/>
        </w:rPr>
        <w:t>Heijn</w:t>
      </w:r>
      <w:proofErr w:type="spellEnd"/>
    </w:p>
    <w:p w:rsidR="00244A82" w:rsidRPr="000555DC" w:rsidRDefault="00D057D7" w:rsidP="00FE3B04">
      <w:pPr>
        <w:pStyle w:val="ListParagraph"/>
        <w:numPr>
          <w:ilvl w:val="0"/>
          <w:numId w:val="2"/>
        </w:numPr>
        <w:jc w:val="both"/>
        <w:rPr>
          <w:rFonts w:asciiTheme="minorHAnsi" w:hAnsiTheme="minorHAnsi"/>
          <w:szCs w:val="24"/>
        </w:rPr>
      </w:pPr>
      <w:r w:rsidRPr="000555DC">
        <w:rPr>
          <w:rFonts w:asciiTheme="minorHAnsi" w:hAnsiTheme="minorHAnsi"/>
          <w:szCs w:val="24"/>
          <w:lang w:val="en-US"/>
        </w:rPr>
        <w:t xml:space="preserve">Dirk van de </w:t>
      </w:r>
      <w:proofErr w:type="spellStart"/>
      <w:r w:rsidRPr="000555DC">
        <w:rPr>
          <w:rFonts w:asciiTheme="minorHAnsi" w:hAnsiTheme="minorHAnsi"/>
          <w:szCs w:val="24"/>
          <w:lang w:val="en-US"/>
        </w:rPr>
        <w:t>Broek</w:t>
      </w:r>
      <w:proofErr w:type="spellEnd"/>
    </w:p>
    <w:p w:rsidR="00D057D7" w:rsidRPr="000555DC" w:rsidRDefault="00D057D7" w:rsidP="00FE3B04">
      <w:pPr>
        <w:pStyle w:val="ListParagraph"/>
        <w:numPr>
          <w:ilvl w:val="0"/>
          <w:numId w:val="2"/>
        </w:numPr>
        <w:jc w:val="both"/>
        <w:rPr>
          <w:rFonts w:asciiTheme="minorHAnsi" w:hAnsiTheme="minorHAnsi"/>
          <w:szCs w:val="24"/>
        </w:rPr>
      </w:pPr>
      <w:r w:rsidRPr="000555DC">
        <w:rPr>
          <w:rFonts w:asciiTheme="minorHAnsi" w:hAnsiTheme="minorHAnsi"/>
          <w:szCs w:val="24"/>
          <w:lang w:val="en-US"/>
        </w:rPr>
        <w:t>Jumbo</w:t>
      </w:r>
    </w:p>
    <w:p w:rsidR="00D057D7" w:rsidRPr="000555DC" w:rsidRDefault="00D057D7" w:rsidP="00FE3B04">
      <w:pPr>
        <w:pStyle w:val="ListParagraph"/>
        <w:numPr>
          <w:ilvl w:val="0"/>
          <w:numId w:val="2"/>
        </w:numPr>
        <w:jc w:val="both"/>
        <w:rPr>
          <w:rFonts w:asciiTheme="minorHAnsi" w:hAnsiTheme="minorHAnsi"/>
          <w:szCs w:val="24"/>
        </w:rPr>
      </w:pPr>
      <w:r w:rsidRPr="000555DC">
        <w:rPr>
          <w:rFonts w:asciiTheme="minorHAnsi" w:hAnsiTheme="minorHAnsi"/>
          <w:szCs w:val="24"/>
          <w:lang w:val="en-US"/>
        </w:rPr>
        <w:t>Lidl</w:t>
      </w:r>
    </w:p>
    <w:p w:rsidR="00D057D7" w:rsidRPr="000555DC" w:rsidRDefault="00D057D7" w:rsidP="00FE3B04">
      <w:pPr>
        <w:pStyle w:val="ListParagraph"/>
        <w:numPr>
          <w:ilvl w:val="0"/>
          <w:numId w:val="2"/>
        </w:numPr>
        <w:jc w:val="both"/>
        <w:rPr>
          <w:rFonts w:asciiTheme="minorHAnsi" w:hAnsiTheme="minorHAnsi"/>
          <w:szCs w:val="24"/>
        </w:rPr>
      </w:pPr>
      <w:r w:rsidRPr="000555DC">
        <w:rPr>
          <w:rFonts w:asciiTheme="minorHAnsi" w:hAnsiTheme="minorHAnsi"/>
          <w:szCs w:val="24"/>
          <w:lang w:val="en-US"/>
        </w:rPr>
        <w:t>Aldi</w:t>
      </w:r>
    </w:p>
    <w:p w:rsidR="00D057D7" w:rsidRPr="000555DC" w:rsidRDefault="00D057D7" w:rsidP="00FE3B04">
      <w:pPr>
        <w:pStyle w:val="ListParagraph"/>
        <w:numPr>
          <w:ilvl w:val="0"/>
          <w:numId w:val="2"/>
        </w:numPr>
        <w:jc w:val="both"/>
        <w:rPr>
          <w:rFonts w:asciiTheme="minorHAnsi" w:hAnsiTheme="minorHAnsi"/>
          <w:szCs w:val="24"/>
        </w:rPr>
      </w:pPr>
      <w:r w:rsidRPr="000555DC">
        <w:rPr>
          <w:rFonts w:asciiTheme="minorHAnsi" w:hAnsiTheme="minorHAnsi"/>
          <w:szCs w:val="24"/>
          <w:lang w:val="en-US"/>
        </w:rPr>
        <w:t xml:space="preserve">Coop </w:t>
      </w:r>
    </w:p>
    <w:p w:rsidR="00D057D7" w:rsidRPr="000555DC" w:rsidRDefault="00D057D7" w:rsidP="00FE3B04">
      <w:pPr>
        <w:pStyle w:val="ListParagraph"/>
        <w:numPr>
          <w:ilvl w:val="0"/>
          <w:numId w:val="2"/>
        </w:numPr>
        <w:jc w:val="both"/>
        <w:rPr>
          <w:rFonts w:asciiTheme="minorHAnsi" w:hAnsiTheme="minorHAnsi"/>
          <w:szCs w:val="24"/>
        </w:rPr>
      </w:pPr>
      <w:r w:rsidRPr="000555DC">
        <w:rPr>
          <w:rFonts w:asciiTheme="minorHAnsi" w:hAnsiTheme="minorHAnsi"/>
          <w:szCs w:val="24"/>
          <w:lang w:val="en-US"/>
        </w:rPr>
        <w:t>Spar</w:t>
      </w:r>
    </w:p>
    <w:p w:rsidR="00D057D7" w:rsidRPr="000555DC" w:rsidRDefault="00D057D7" w:rsidP="00FE3B04">
      <w:pPr>
        <w:pStyle w:val="ListParagraph"/>
        <w:numPr>
          <w:ilvl w:val="0"/>
          <w:numId w:val="2"/>
        </w:numPr>
        <w:jc w:val="both"/>
        <w:rPr>
          <w:rFonts w:asciiTheme="minorHAnsi" w:hAnsiTheme="minorHAnsi"/>
          <w:szCs w:val="24"/>
        </w:rPr>
      </w:pPr>
      <w:proofErr w:type="spellStart"/>
      <w:r w:rsidRPr="000555DC">
        <w:rPr>
          <w:rFonts w:asciiTheme="minorHAnsi" w:hAnsiTheme="minorHAnsi"/>
          <w:szCs w:val="24"/>
          <w:lang w:val="en-US"/>
        </w:rPr>
        <w:t>Makro</w:t>
      </w:r>
      <w:proofErr w:type="spellEnd"/>
    </w:p>
    <w:p w:rsidR="00D057D7" w:rsidRPr="000555DC" w:rsidRDefault="00D057D7" w:rsidP="00FE3B04">
      <w:pPr>
        <w:pStyle w:val="ListParagraph"/>
        <w:numPr>
          <w:ilvl w:val="0"/>
          <w:numId w:val="2"/>
        </w:numPr>
        <w:jc w:val="both"/>
        <w:rPr>
          <w:rFonts w:asciiTheme="minorHAnsi" w:hAnsiTheme="minorHAnsi"/>
          <w:szCs w:val="24"/>
        </w:rPr>
      </w:pPr>
      <w:proofErr w:type="spellStart"/>
      <w:r w:rsidRPr="000555DC">
        <w:rPr>
          <w:rFonts w:asciiTheme="minorHAnsi" w:hAnsiTheme="minorHAnsi"/>
          <w:szCs w:val="24"/>
          <w:lang w:val="en-US"/>
        </w:rPr>
        <w:t>Voomar</w:t>
      </w:r>
      <w:proofErr w:type="spellEnd"/>
    </w:p>
    <w:p w:rsidR="00D057D7" w:rsidRPr="000555DC" w:rsidRDefault="005550EC" w:rsidP="00D057D7">
      <w:pPr>
        <w:jc w:val="both"/>
        <w:rPr>
          <w:rFonts w:asciiTheme="minorHAnsi" w:hAnsiTheme="minorHAnsi"/>
          <w:szCs w:val="24"/>
          <w:lang w:val="en-US"/>
        </w:rPr>
      </w:pPr>
      <w:r w:rsidRPr="000555DC">
        <w:rPr>
          <w:rFonts w:asciiTheme="minorHAnsi" w:hAnsiTheme="minorHAnsi"/>
          <w:szCs w:val="24"/>
        </w:rPr>
        <w:t xml:space="preserve">Λίστα των </w:t>
      </w:r>
      <w:r w:rsidR="000555DC" w:rsidRPr="000555DC">
        <w:rPr>
          <w:rFonts w:asciiTheme="minorHAnsi" w:hAnsiTheme="minorHAnsi"/>
          <w:szCs w:val="24"/>
        </w:rPr>
        <w:t>λιανεμπορικών</w:t>
      </w:r>
      <w:r w:rsidRPr="000555DC">
        <w:rPr>
          <w:rFonts w:asciiTheme="minorHAnsi" w:hAnsiTheme="minorHAnsi"/>
          <w:szCs w:val="24"/>
        </w:rPr>
        <w:t xml:space="preserve"> </w:t>
      </w:r>
      <w:r w:rsidR="00B7209C" w:rsidRPr="000555DC">
        <w:rPr>
          <w:rFonts w:asciiTheme="minorHAnsi" w:hAnsiTheme="minorHAnsi"/>
          <w:szCs w:val="24"/>
        </w:rPr>
        <w:t>αλυσίδων</w:t>
      </w:r>
      <w:r w:rsidRPr="000555DC">
        <w:rPr>
          <w:rFonts w:asciiTheme="minorHAnsi" w:hAnsiTheme="minorHAnsi"/>
          <w:szCs w:val="24"/>
          <w:lang w:val="en-US"/>
        </w:rPr>
        <w:t>:</w:t>
      </w:r>
    </w:p>
    <w:p w:rsidR="00D057D7" w:rsidRPr="000555DC" w:rsidRDefault="00835262" w:rsidP="00D057D7">
      <w:pPr>
        <w:jc w:val="both"/>
        <w:rPr>
          <w:rFonts w:asciiTheme="minorHAnsi" w:hAnsiTheme="minorHAnsi"/>
          <w:szCs w:val="24"/>
          <w:lang w:val="en-US"/>
        </w:rPr>
      </w:pPr>
      <w:hyperlink r:id="rId16" w:history="1">
        <w:r w:rsidR="00D057D7" w:rsidRPr="000555DC">
          <w:rPr>
            <w:rStyle w:val="Hyperlink"/>
            <w:rFonts w:asciiTheme="minorHAnsi" w:hAnsiTheme="minorHAnsi"/>
            <w:szCs w:val="24"/>
            <w:lang w:val="en-US"/>
          </w:rPr>
          <w:t>http://en.wikipedia.org/wiki/List_of_supermarket_chains_in_the_Netherlands</w:t>
        </w:r>
      </w:hyperlink>
    </w:p>
    <w:p w:rsidR="000C04AB" w:rsidRPr="000555DC" w:rsidRDefault="000C04AB" w:rsidP="00FE3B04">
      <w:pPr>
        <w:jc w:val="both"/>
        <w:rPr>
          <w:rFonts w:asciiTheme="minorHAnsi" w:hAnsiTheme="minorHAnsi"/>
          <w:szCs w:val="24"/>
          <w:lang w:val="en-US"/>
        </w:rPr>
      </w:pPr>
    </w:p>
    <w:p w:rsidR="003E6E8F" w:rsidRPr="000555DC" w:rsidRDefault="00B66A81" w:rsidP="00FE3B04">
      <w:pPr>
        <w:jc w:val="both"/>
        <w:rPr>
          <w:rFonts w:asciiTheme="minorHAnsi" w:hAnsiTheme="minorHAnsi"/>
          <w:szCs w:val="24"/>
        </w:rPr>
      </w:pPr>
      <w:r w:rsidRPr="000555DC">
        <w:rPr>
          <w:rFonts w:asciiTheme="minorHAnsi" w:hAnsiTheme="minorHAnsi"/>
          <w:szCs w:val="24"/>
        </w:rPr>
        <w:t>ΑΝΤΑΓΩΝΙΣΤΙΚΟΤΗΤΑ</w:t>
      </w:r>
    </w:p>
    <w:p w:rsidR="003E6E8F" w:rsidRPr="000555DC" w:rsidRDefault="00B66A81" w:rsidP="00FE3B04">
      <w:pPr>
        <w:jc w:val="both"/>
        <w:rPr>
          <w:rFonts w:asciiTheme="minorHAnsi" w:hAnsiTheme="minorHAnsi"/>
          <w:szCs w:val="24"/>
        </w:rPr>
      </w:pPr>
      <w:r w:rsidRPr="000555DC">
        <w:rPr>
          <w:rFonts w:asciiTheme="minorHAnsi" w:hAnsiTheme="minorHAnsi"/>
          <w:szCs w:val="24"/>
        </w:rPr>
        <w:t xml:space="preserve">Χρήσιμες συμβουλές για τους παραγωγούς που θα ήθελαν να εξάγουν στην Ολλανδία </w:t>
      </w:r>
      <w:r w:rsidR="00862FB4" w:rsidRPr="000555DC">
        <w:rPr>
          <w:rFonts w:asciiTheme="minorHAnsi" w:hAnsiTheme="minorHAnsi"/>
          <w:szCs w:val="24"/>
        </w:rPr>
        <w:t>είναι:</w:t>
      </w:r>
    </w:p>
    <w:p w:rsidR="00E92050" w:rsidRPr="000555DC" w:rsidRDefault="00E92050" w:rsidP="00FE3B04">
      <w:pPr>
        <w:pStyle w:val="ListParagraph"/>
        <w:numPr>
          <w:ilvl w:val="0"/>
          <w:numId w:val="1"/>
        </w:numPr>
        <w:jc w:val="both"/>
        <w:rPr>
          <w:rFonts w:asciiTheme="minorHAnsi" w:hAnsiTheme="minorHAnsi"/>
          <w:szCs w:val="24"/>
        </w:rPr>
      </w:pPr>
      <w:r w:rsidRPr="000555DC">
        <w:rPr>
          <w:rFonts w:asciiTheme="minorHAnsi" w:hAnsiTheme="minorHAnsi"/>
          <w:szCs w:val="24"/>
        </w:rPr>
        <w:t>Ποιότητα</w:t>
      </w:r>
    </w:p>
    <w:p w:rsidR="00E92050" w:rsidRPr="000555DC" w:rsidRDefault="00E92050" w:rsidP="00FE3B04">
      <w:pPr>
        <w:pStyle w:val="ListParagraph"/>
        <w:numPr>
          <w:ilvl w:val="0"/>
          <w:numId w:val="1"/>
        </w:numPr>
        <w:jc w:val="both"/>
        <w:rPr>
          <w:rFonts w:asciiTheme="minorHAnsi" w:hAnsiTheme="minorHAnsi"/>
          <w:szCs w:val="24"/>
        </w:rPr>
      </w:pPr>
      <w:r w:rsidRPr="000555DC">
        <w:rPr>
          <w:rFonts w:asciiTheme="minorHAnsi" w:hAnsiTheme="minorHAnsi"/>
          <w:szCs w:val="24"/>
        </w:rPr>
        <w:t>Συσκευασία</w:t>
      </w:r>
    </w:p>
    <w:p w:rsidR="00E92050" w:rsidRPr="000555DC" w:rsidRDefault="00E92050" w:rsidP="00FE3B04">
      <w:pPr>
        <w:pStyle w:val="ListParagraph"/>
        <w:numPr>
          <w:ilvl w:val="0"/>
          <w:numId w:val="1"/>
        </w:numPr>
        <w:jc w:val="both"/>
        <w:rPr>
          <w:rFonts w:asciiTheme="minorHAnsi" w:hAnsiTheme="minorHAnsi"/>
          <w:szCs w:val="24"/>
        </w:rPr>
      </w:pPr>
      <w:r w:rsidRPr="000555DC">
        <w:rPr>
          <w:rFonts w:asciiTheme="minorHAnsi" w:hAnsiTheme="minorHAnsi"/>
          <w:szCs w:val="24"/>
        </w:rPr>
        <w:t xml:space="preserve">Διαδικτυακή σελίδα του </w:t>
      </w:r>
      <w:r w:rsidR="002E79CC" w:rsidRPr="000555DC">
        <w:rPr>
          <w:rFonts w:asciiTheme="minorHAnsi" w:hAnsiTheme="minorHAnsi"/>
          <w:szCs w:val="24"/>
        </w:rPr>
        <w:t>προϊόντος</w:t>
      </w:r>
    </w:p>
    <w:p w:rsidR="00E92050" w:rsidRPr="000555DC" w:rsidRDefault="00E92050" w:rsidP="00FE3B04">
      <w:pPr>
        <w:pStyle w:val="ListParagraph"/>
        <w:numPr>
          <w:ilvl w:val="0"/>
          <w:numId w:val="1"/>
        </w:numPr>
        <w:jc w:val="both"/>
        <w:rPr>
          <w:rFonts w:asciiTheme="minorHAnsi" w:hAnsiTheme="minorHAnsi"/>
          <w:szCs w:val="24"/>
        </w:rPr>
      </w:pPr>
      <w:r w:rsidRPr="000555DC">
        <w:rPr>
          <w:rFonts w:asciiTheme="minorHAnsi" w:hAnsiTheme="minorHAnsi"/>
          <w:szCs w:val="24"/>
        </w:rPr>
        <w:t>Διαφήμιση</w:t>
      </w:r>
    </w:p>
    <w:p w:rsidR="00131030" w:rsidRPr="000555DC" w:rsidRDefault="00131030" w:rsidP="00FE3B04">
      <w:pPr>
        <w:jc w:val="both"/>
        <w:rPr>
          <w:rFonts w:asciiTheme="minorHAnsi" w:hAnsiTheme="minorHAnsi"/>
          <w:szCs w:val="24"/>
        </w:rPr>
      </w:pPr>
      <w:r w:rsidRPr="000555DC">
        <w:rPr>
          <w:rFonts w:asciiTheme="minorHAnsi" w:hAnsiTheme="minorHAnsi"/>
          <w:szCs w:val="24"/>
        </w:rPr>
        <w:t xml:space="preserve">Τα περισσότερα </w:t>
      </w:r>
      <w:r w:rsidR="002E79CC" w:rsidRPr="000555DC">
        <w:rPr>
          <w:rFonts w:asciiTheme="minorHAnsi" w:hAnsiTheme="minorHAnsi"/>
          <w:szCs w:val="24"/>
        </w:rPr>
        <w:t>προϊόντα</w:t>
      </w:r>
      <w:r w:rsidRPr="000555DC">
        <w:rPr>
          <w:rFonts w:asciiTheme="minorHAnsi" w:hAnsiTheme="minorHAnsi"/>
          <w:szCs w:val="24"/>
        </w:rPr>
        <w:t xml:space="preserve"> στην Ολλανδία έχουνε μια διαδικτυακή σελίδα ώστε να υπάρχουνε οι περισσότερες πληροφορίες εκεί, όπως επίσης και οι καταναλωτές να μπορέσουν να ανατρέξουν εκεί για την παραγγελία των </w:t>
      </w:r>
      <w:r w:rsidR="000555DC" w:rsidRPr="000555DC">
        <w:rPr>
          <w:rFonts w:asciiTheme="minorHAnsi" w:hAnsiTheme="minorHAnsi"/>
          <w:szCs w:val="24"/>
        </w:rPr>
        <w:t>προϊόντων</w:t>
      </w:r>
      <w:r w:rsidRPr="000555DC">
        <w:rPr>
          <w:rFonts w:asciiTheme="minorHAnsi" w:hAnsiTheme="minorHAnsi"/>
          <w:szCs w:val="24"/>
        </w:rPr>
        <w:t xml:space="preserve">. Οι </w:t>
      </w:r>
      <w:r w:rsidRPr="000555DC">
        <w:rPr>
          <w:rFonts w:asciiTheme="minorHAnsi" w:hAnsiTheme="minorHAnsi"/>
          <w:szCs w:val="24"/>
          <w:lang w:val="en-US"/>
        </w:rPr>
        <w:t>on</w:t>
      </w:r>
      <w:r w:rsidRPr="000555DC">
        <w:rPr>
          <w:rFonts w:asciiTheme="minorHAnsi" w:hAnsiTheme="minorHAnsi"/>
          <w:szCs w:val="24"/>
        </w:rPr>
        <w:t>-</w:t>
      </w:r>
      <w:r w:rsidRPr="000555DC">
        <w:rPr>
          <w:rFonts w:asciiTheme="minorHAnsi" w:hAnsiTheme="minorHAnsi"/>
          <w:szCs w:val="24"/>
          <w:lang w:val="en-US"/>
        </w:rPr>
        <w:t>line</w:t>
      </w:r>
      <w:r w:rsidRPr="000555DC">
        <w:rPr>
          <w:rFonts w:asciiTheme="minorHAnsi" w:hAnsiTheme="minorHAnsi"/>
          <w:szCs w:val="24"/>
        </w:rPr>
        <w:t xml:space="preserve"> αγορές είναι διαδεδομένες στην χώρα της Ολλανδίας.</w:t>
      </w:r>
    </w:p>
    <w:p w:rsidR="00574C09" w:rsidRPr="000555DC" w:rsidRDefault="00131030" w:rsidP="00574C09">
      <w:pPr>
        <w:jc w:val="both"/>
        <w:rPr>
          <w:rFonts w:asciiTheme="minorHAnsi" w:hAnsiTheme="minorHAnsi"/>
          <w:szCs w:val="24"/>
        </w:rPr>
      </w:pPr>
      <w:r w:rsidRPr="000555DC">
        <w:rPr>
          <w:rFonts w:asciiTheme="minorHAnsi" w:hAnsiTheme="minorHAnsi"/>
          <w:szCs w:val="24"/>
        </w:rPr>
        <w:t xml:space="preserve">Μεγαλύτερο βάρος θα πρέπει να πέσει στην </w:t>
      </w:r>
      <w:r w:rsidR="000555DC" w:rsidRPr="000555DC">
        <w:rPr>
          <w:rFonts w:asciiTheme="minorHAnsi" w:hAnsiTheme="minorHAnsi"/>
          <w:szCs w:val="24"/>
        </w:rPr>
        <w:t>διαφήμιση</w:t>
      </w:r>
      <w:r w:rsidRPr="000555DC">
        <w:rPr>
          <w:rFonts w:asciiTheme="minorHAnsi" w:hAnsiTheme="minorHAnsi"/>
          <w:szCs w:val="24"/>
        </w:rPr>
        <w:t xml:space="preserve"> για να γνωστοποιηθεί το </w:t>
      </w:r>
      <w:r w:rsidR="000555DC" w:rsidRPr="000555DC">
        <w:rPr>
          <w:rFonts w:asciiTheme="minorHAnsi" w:hAnsiTheme="minorHAnsi"/>
          <w:szCs w:val="24"/>
        </w:rPr>
        <w:t>προϊόν</w:t>
      </w:r>
      <w:r w:rsidRPr="000555DC">
        <w:rPr>
          <w:rFonts w:asciiTheme="minorHAnsi" w:hAnsiTheme="minorHAnsi"/>
          <w:szCs w:val="24"/>
        </w:rPr>
        <w:t xml:space="preserve"> στις αγορές και να αναδειχθούν τα μοναδικά χαρακτηριστικά του.</w:t>
      </w:r>
      <w:r w:rsidR="00574C09">
        <w:rPr>
          <w:rFonts w:asciiTheme="minorHAnsi" w:hAnsiTheme="minorHAnsi"/>
          <w:szCs w:val="24"/>
        </w:rPr>
        <w:t xml:space="preserve"> </w:t>
      </w:r>
      <w:r w:rsidR="00574C09" w:rsidRPr="000555DC">
        <w:rPr>
          <w:rFonts w:asciiTheme="minorHAnsi" w:hAnsiTheme="minorHAnsi"/>
          <w:szCs w:val="24"/>
        </w:rPr>
        <w:t>Η επωνυμία είναι ένα συν καθώς μπορεί να εδραιωθεί ένα όνομα και αξιοπιστία γύρω από το συγκεκριμένο προϊόν.</w:t>
      </w:r>
    </w:p>
    <w:p w:rsidR="005213BD" w:rsidRPr="000555DC" w:rsidRDefault="005213BD" w:rsidP="00FE3B04">
      <w:pPr>
        <w:jc w:val="both"/>
        <w:rPr>
          <w:rFonts w:asciiTheme="minorHAnsi" w:hAnsiTheme="minorHAnsi"/>
          <w:szCs w:val="24"/>
        </w:rPr>
      </w:pPr>
    </w:p>
    <w:p w:rsidR="005912DC" w:rsidRPr="000555DC" w:rsidRDefault="005912DC" w:rsidP="00FE3B04">
      <w:pPr>
        <w:jc w:val="both"/>
        <w:rPr>
          <w:rFonts w:asciiTheme="minorHAnsi" w:hAnsiTheme="minorHAnsi"/>
          <w:szCs w:val="24"/>
        </w:rPr>
      </w:pPr>
    </w:p>
    <w:p w:rsidR="00574C09" w:rsidRDefault="00574C09" w:rsidP="00835262">
      <w:pPr>
        <w:jc w:val="center"/>
        <w:rPr>
          <w:rFonts w:asciiTheme="minorHAnsi" w:hAnsiTheme="minorHAnsi"/>
          <w:b/>
          <w:szCs w:val="24"/>
        </w:rPr>
      </w:pPr>
    </w:p>
    <w:p w:rsidR="00574C09" w:rsidRDefault="00574C09" w:rsidP="00835262">
      <w:pPr>
        <w:jc w:val="center"/>
        <w:rPr>
          <w:rFonts w:asciiTheme="minorHAnsi" w:hAnsiTheme="minorHAnsi"/>
          <w:b/>
          <w:szCs w:val="24"/>
        </w:rPr>
      </w:pPr>
    </w:p>
    <w:p w:rsidR="003E6E8F" w:rsidRPr="00835262" w:rsidRDefault="009847CF" w:rsidP="00835262">
      <w:pPr>
        <w:jc w:val="center"/>
        <w:rPr>
          <w:rFonts w:asciiTheme="minorHAnsi" w:hAnsiTheme="minorHAnsi"/>
          <w:b/>
          <w:szCs w:val="24"/>
        </w:rPr>
      </w:pPr>
      <w:bookmarkStart w:id="0" w:name="_GoBack"/>
      <w:bookmarkEnd w:id="0"/>
      <w:r w:rsidRPr="00835262">
        <w:rPr>
          <w:rFonts w:asciiTheme="minorHAnsi" w:hAnsiTheme="minorHAnsi"/>
          <w:b/>
          <w:szCs w:val="24"/>
        </w:rPr>
        <w:lastRenderedPageBreak/>
        <w:t>ΠΑΡΑΡΤΗΜΑ</w:t>
      </w:r>
    </w:p>
    <w:p w:rsidR="00332969" w:rsidRPr="00574C09" w:rsidRDefault="00835262" w:rsidP="00574C09">
      <w:pPr>
        <w:jc w:val="center"/>
        <w:rPr>
          <w:rFonts w:asciiTheme="minorHAnsi" w:hAnsiTheme="minorHAnsi"/>
          <w:b/>
          <w:color w:val="4F81BD" w:themeColor="accent1"/>
          <w:szCs w:val="24"/>
        </w:rPr>
      </w:pPr>
      <w:r w:rsidRPr="00574C09">
        <w:rPr>
          <w:rFonts w:asciiTheme="minorHAnsi" w:hAnsiTheme="minorHAnsi"/>
          <w:b/>
          <w:color w:val="4F81BD" w:themeColor="accent1"/>
          <w:szCs w:val="24"/>
        </w:rPr>
        <w:t>Πίνακας 1:</w:t>
      </w:r>
      <w:r w:rsidR="00332969" w:rsidRPr="00574C09">
        <w:rPr>
          <w:rFonts w:asciiTheme="minorHAnsi" w:hAnsiTheme="minorHAnsi"/>
          <w:b/>
          <w:color w:val="4F81BD" w:themeColor="accent1"/>
          <w:szCs w:val="24"/>
        </w:rPr>
        <w:t xml:space="preserve"> Τιμές σούπερ-μάρκετ</w:t>
      </w:r>
    </w:p>
    <w:tbl>
      <w:tblPr>
        <w:tblW w:w="9248" w:type="dxa"/>
        <w:tblInd w:w="93"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1572"/>
        <w:gridCol w:w="4397"/>
        <w:gridCol w:w="1276"/>
        <w:gridCol w:w="665"/>
        <w:gridCol w:w="1338"/>
      </w:tblGrid>
      <w:tr w:rsidR="00546DB1" w:rsidRPr="000555DC" w:rsidTr="00D057D7">
        <w:trPr>
          <w:trHeight w:val="293"/>
        </w:trPr>
        <w:tc>
          <w:tcPr>
            <w:tcW w:w="1572" w:type="dxa"/>
            <w:tcBorders>
              <w:top w:val="single" w:sz="12" w:space="0" w:color="auto"/>
              <w:bottom w:val="single" w:sz="12" w:space="0" w:color="auto"/>
            </w:tcBorders>
            <w:shd w:val="clear" w:color="auto" w:fill="auto"/>
            <w:noWrap/>
            <w:vAlign w:val="bottom"/>
            <w:hideMark/>
          </w:tcPr>
          <w:p w:rsidR="00546DB1" w:rsidRPr="000555DC" w:rsidRDefault="00546DB1" w:rsidP="00546DB1">
            <w:pPr>
              <w:spacing w:after="0" w:line="240" w:lineRule="auto"/>
              <w:jc w:val="center"/>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Supermarket</w:t>
            </w:r>
            <w:proofErr w:type="spellEnd"/>
          </w:p>
        </w:tc>
        <w:tc>
          <w:tcPr>
            <w:tcW w:w="4397" w:type="dxa"/>
            <w:tcBorders>
              <w:top w:val="single" w:sz="12" w:space="0" w:color="auto"/>
              <w:bottom w:val="single" w:sz="12" w:space="0" w:color="auto"/>
            </w:tcBorders>
            <w:shd w:val="clear" w:color="auto" w:fill="auto"/>
            <w:noWrap/>
            <w:vAlign w:val="bottom"/>
            <w:hideMark/>
          </w:tcPr>
          <w:p w:rsidR="00546DB1" w:rsidRPr="000555DC" w:rsidRDefault="00546DB1" w:rsidP="00546DB1">
            <w:pPr>
              <w:spacing w:after="0" w:line="240" w:lineRule="auto"/>
              <w:jc w:val="center"/>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Ονομασία Προϊόντος</w:t>
            </w:r>
          </w:p>
        </w:tc>
        <w:tc>
          <w:tcPr>
            <w:tcW w:w="1276" w:type="dxa"/>
            <w:tcBorders>
              <w:top w:val="single" w:sz="12" w:space="0" w:color="auto"/>
              <w:bottom w:val="single" w:sz="12" w:space="0" w:color="auto"/>
            </w:tcBorders>
            <w:shd w:val="clear" w:color="auto" w:fill="auto"/>
            <w:noWrap/>
            <w:vAlign w:val="bottom"/>
            <w:hideMark/>
          </w:tcPr>
          <w:p w:rsidR="00546DB1" w:rsidRPr="000555DC" w:rsidRDefault="00546DB1" w:rsidP="00546DB1">
            <w:pPr>
              <w:spacing w:after="0" w:line="240" w:lineRule="auto"/>
              <w:jc w:val="center"/>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Ποσότητα</w:t>
            </w:r>
          </w:p>
        </w:tc>
        <w:tc>
          <w:tcPr>
            <w:tcW w:w="665" w:type="dxa"/>
            <w:tcBorders>
              <w:top w:val="single" w:sz="12" w:space="0" w:color="auto"/>
              <w:bottom w:val="single" w:sz="12" w:space="0" w:color="auto"/>
            </w:tcBorders>
            <w:shd w:val="clear" w:color="auto" w:fill="auto"/>
            <w:noWrap/>
            <w:vAlign w:val="bottom"/>
            <w:hideMark/>
          </w:tcPr>
          <w:p w:rsidR="00546DB1" w:rsidRPr="000555DC" w:rsidRDefault="00546DB1" w:rsidP="00546DB1">
            <w:pPr>
              <w:spacing w:after="0" w:line="240" w:lineRule="auto"/>
              <w:jc w:val="center"/>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Τιμή</w:t>
            </w:r>
          </w:p>
        </w:tc>
        <w:tc>
          <w:tcPr>
            <w:tcW w:w="1338" w:type="dxa"/>
            <w:tcBorders>
              <w:top w:val="single" w:sz="12" w:space="0" w:color="auto"/>
              <w:bottom w:val="single" w:sz="12" w:space="0" w:color="auto"/>
            </w:tcBorders>
            <w:shd w:val="clear" w:color="auto" w:fill="auto"/>
            <w:noWrap/>
            <w:vAlign w:val="bottom"/>
            <w:hideMark/>
          </w:tcPr>
          <w:p w:rsidR="00546DB1" w:rsidRPr="000555DC" w:rsidRDefault="00546DB1" w:rsidP="00546DB1">
            <w:pPr>
              <w:spacing w:after="0" w:line="240" w:lineRule="auto"/>
              <w:jc w:val="center"/>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Προέλευση</w:t>
            </w:r>
          </w:p>
        </w:tc>
      </w:tr>
      <w:tr w:rsidR="00546DB1" w:rsidRPr="000555DC" w:rsidTr="00D057D7">
        <w:trPr>
          <w:trHeight w:val="279"/>
        </w:trPr>
        <w:tc>
          <w:tcPr>
            <w:tcW w:w="1572" w:type="dxa"/>
            <w:tcBorders>
              <w:top w:val="single" w:sz="12" w:space="0" w:color="auto"/>
            </w:tcBorders>
            <w:shd w:val="clear" w:color="000000" w:fill="B8CCE4"/>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Albert</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Heijn</w:t>
            </w:r>
            <w:proofErr w:type="spellEnd"/>
          </w:p>
        </w:tc>
        <w:tc>
          <w:tcPr>
            <w:tcW w:w="4397" w:type="dxa"/>
            <w:tcBorders>
              <w:top w:val="single" w:sz="12" w:space="0" w:color="auto"/>
            </w:tcBorders>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xml:space="preserve">AH </w:t>
            </w:r>
            <w:proofErr w:type="spellStart"/>
            <w:r w:rsidRPr="000555DC">
              <w:rPr>
                <w:rFonts w:asciiTheme="minorHAnsi" w:eastAsia="Times New Roman" w:hAnsiTheme="minorHAnsi"/>
                <w:color w:val="000000"/>
                <w:sz w:val="22"/>
                <w:lang w:eastAsia="el-GR"/>
              </w:rPr>
              <w:t>Olijfolie</w:t>
            </w:r>
            <w:proofErr w:type="spellEnd"/>
          </w:p>
        </w:tc>
        <w:tc>
          <w:tcPr>
            <w:tcW w:w="1276" w:type="dxa"/>
            <w:tcBorders>
              <w:top w:val="single" w:sz="12" w:space="0" w:color="auto"/>
            </w:tcBorders>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1L</w:t>
            </w:r>
          </w:p>
        </w:tc>
        <w:tc>
          <w:tcPr>
            <w:tcW w:w="665" w:type="dxa"/>
            <w:tcBorders>
              <w:top w:val="single" w:sz="12" w:space="0" w:color="auto"/>
            </w:tcBorders>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4,99</w:t>
            </w:r>
          </w:p>
        </w:tc>
        <w:tc>
          <w:tcPr>
            <w:tcW w:w="1338" w:type="dxa"/>
            <w:tcBorders>
              <w:top w:val="single" w:sz="12" w:space="0" w:color="auto"/>
            </w:tcBorders>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Spain</w:t>
            </w:r>
            <w:proofErr w:type="spellEnd"/>
          </w:p>
        </w:tc>
      </w:tr>
      <w:tr w:rsidR="00546DB1" w:rsidRPr="000555DC" w:rsidTr="00D057D7">
        <w:trPr>
          <w:trHeight w:val="279"/>
        </w:trPr>
        <w:tc>
          <w:tcPr>
            <w:tcW w:w="1572" w:type="dxa"/>
            <w:shd w:val="clear" w:color="000000" w:fill="B8CCE4"/>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xml:space="preserve">AH </w:t>
            </w:r>
            <w:proofErr w:type="spellStart"/>
            <w:r w:rsidRPr="000555DC">
              <w:rPr>
                <w:rFonts w:asciiTheme="minorHAnsi" w:eastAsia="Times New Roman" w:hAnsiTheme="minorHAnsi"/>
                <w:color w:val="000000"/>
                <w:sz w:val="22"/>
                <w:lang w:eastAsia="el-GR"/>
              </w:rPr>
              <w:t>Olijfolie</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extra</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vierge</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1L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4,85</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Spain</w:t>
            </w:r>
            <w:proofErr w:type="spellEnd"/>
          </w:p>
        </w:tc>
      </w:tr>
      <w:tr w:rsidR="00546DB1" w:rsidRPr="000555DC" w:rsidTr="00D057D7">
        <w:trPr>
          <w:trHeight w:val="279"/>
        </w:trPr>
        <w:tc>
          <w:tcPr>
            <w:tcW w:w="1572" w:type="dxa"/>
            <w:shd w:val="clear" w:color="000000" w:fill="B8CCE4"/>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xml:space="preserve">AH </w:t>
            </w:r>
            <w:proofErr w:type="spellStart"/>
            <w:r w:rsidRPr="000555DC">
              <w:rPr>
                <w:rFonts w:asciiTheme="minorHAnsi" w:eastAsia="Times New Roman" w:hAnsiTheme="minorHAnsi"/>
                <w:color w:val="000000"/>
                <w:sz w:val="22"/>
                <w:lang w:eastAsia="el-GR"/>
              </w:rPr>
              <w:t>Olijfolie</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mild</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1L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4,99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Spain</w:t>
            </w:r>
            <w:proofErr w:type="spellEnd"/>
          </w:p>
        </w:tc>
      </w:tr>
      <w:tr w:rsidR="00546DB1" w:rsidRPr="000555DC" w:rsidTr="00D057D7">
        <w:trPr>
          <w:trHeight w:val="279"/>
        </w:trPr>
        <w:tc>
          <w:tcPr>
            <w:tcW w:w="1572" w:type="dxa"/>
            <w:shd w:val="clear" w:color="000000" w:fill="B8CCE4"/>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xml:space="preserve">AH </w:t>
            </w:r>
            <w:proofErr w:type="spellStart"/>
            <w:r w:rsidRPr="000555DC">
              <w:rPr>
                <w:rFonts w:asciiTheme="minorHAnsi" w:eastAsia="Times New Roman" w:hAnsiTheme="minorHAnsi"/>
                <w:color w:val="000000"/>
                <w:sz w:val="22"/>
                <w:lang w:eastAsia="el-GR"/>
              </w:rPr>
              <w:t>Olijfolie</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500ml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2,89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Spain</w:t>
            </w:r>
            <w:proofErr w:type="spellEnd"/>
          </w:p>
        </w:tc>
      </w:tr>
      <w:tr w:rsidR="00546DB1" w:rsidRPr="000555DC" w:rsidTr="00D057D7">
        <w:trPr>
          <w:trHeight w:val="279"/>
        </w:trPr>
        <w:tc>
          <w:tcPr>
            <w:tcW w:w="1572" w:type="dxa"/>
            <w:shd w:val="clear" w:color="000000" w:fill="B8CCE4"/>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xml:space="preserve">AH </w:t>
            </w:r>
            <w:proofErr w:type="spellStart"/>
            <w:r w:rsidRPr="000555DC">
              <w:rPr>
                <w:rFonts w:asciiTheme="minorHAnsi" w:eastAsia="Times New Roman" w:hAnsiTheme="minorHAnsi"/>
                <w:color w:val="000000"/>
                <w:sz w:val="22"/>
                <w:lang w:eastAsia="el-GR"/>
              </w:rPr>
              <w:t>Olijfolie</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extra</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vierge</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500ml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2,69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Spain</w:t>
            </w:r>
            <w:proofErr w:type="spellEnd"/>
          </w:p>
        </w:tc>
      </w:tr>
      <w:tr w:rsidR="00546DB1" w:rsidRPr="000555DC" w:rsidTr="00D057D7">
        <w:trPr>
          <w:trHeight w:val="279"/>
        </w:trPr>
        <w:tc>
          <w:tcPr>
            <w:tcW w:w="1572" w:type="dxa"/>
            <w:shd w:val="clear" w:color="000000" w:fill="B8CCE4"/>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xml:space="preserve">AH </w:t>
            </w:r>
            <w:proofErr w:type="spellStart"/>
            <w:r w:rsidRPr="000555DC">
              <w:rPr>
                <w:rFonts w:asciiTheme="minorHAnsi" w:eastAsia="Times New Roman" w:hAnsiTheme="minorHAnsi"/>
                <w:color w:val="000000"/>
                <w:sz w:val="22"/>
                <w:lang w:eastAsia="el-GR"/>
              </w:rPr>
              <w:t>Olijfolie</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mild</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500ml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2,89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Spain</w:t>
            </w:r>
            <w:proofErr w:type="spellEnd"/>
          </w:p>
        </w:tc>
      </w:tr>
      <w:tr w:rsidR="00546DB1" w:rsidRPr="000555DC" w:rsidTr="00D057D7">
        <w:trPr>
          <w:trHeight w:val="279"/>
        </w:trPr>
        <w:tc>
          <w:tcPr>
            <w:tcW w:w="1572" w:type="dxa"/>
            <w:shd w:val="clear" w:color="000000" w:fill="B8CCE4"/>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xml:space="preserve">AH </w:t>
            </w:r>
            <w:proofErr w:type="spellStart"/>
            <w:r w:rsidRPr="000555DC">
              <w:rPr>
                <w:rFonts w:asciiTheme="minorHAnsi" w:eastAsia="Times New Roman" w:hAnsiTheme="minorHAnsi"/>
                <w:color w:val="000000"/>
                <w:sz w:val="22"/>
                <w:lang w:eastAsia="el-GR"/>
              </w:rPr>
              <w:t>Olijfolie</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250ml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1,79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Spain</w:t>
            </w:r>
            <w:proofErr w:type="spellEnd"/>
          </w:p>
        </w:tc>
      </w:tr>
      <w:tr w:rsidR="00546DB1" w:rsidRPr="000555DC" w:rsidTr="00D057D7">
        <w:trPr>
          <w:trHeight w:val="279"/>
        </w:trPr>
        <w:tc>
          <w:tcPr>
            <w:tcW w:w="1572" w:type="dxa"/>
            <w:shd w:val="clear" w:color="000000" w:fill="B8CCE4"/>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xml:space="preserve">AH </w:t>
            </w:r>
            <w:proofErr w:type="spellStart"/>
            <w:r w:rsidRPr="000555DC">
              <w:rPr>
                <w:rFonts w:asciiTheme="minorHAnsi" w:eastAsia="Times New Roman" w:hAnsiTheme="minorHAnsi"/>
                <w:color w:val="000000"/>
                <w:sz w:val="22"/>
                <w:lang w:eastAsia="el-GR"/>
              </w:rPr>
              <w:t>Olijfolie</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extra</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vierge</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250ml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1,62</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Spain</w:t>
            </w:r>
            <w:proofErr w:type="spellEnd"/>
          </w:p>
        </w:tc>
      </w:tr>
      <w:tr w:rsidR="00546DB1" w:rsidRPr="000555DC" w:rsidTr="00D057D7">
        <w:trPr>
          <w:trHeight w:val="279"/>
        </w:trPr>
        <w:tc>
          <w:tcPr>
            <w:tcW w:w="1572" w:type="dxa"/>
            <w:shd w:val="clear" w:color="000000" w:fill="B8CCE4"/>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xml:space="preserve">AH </w:t>
            </w:r>
            <w:proofErr w:type="spellStart"/>
            <w:r w:rsidRPr="000555DC">
              <w:rPr>
                <w:rFonts w:asciiTheme="minorHAnsi" w:eastAsia="Times New Roman" w:hAnsiTheme="minorHAnsi"/>
                <w:color w:val="000000"/>
                <w:sz w:val="22"/>
                <w:lang w:eastAsia="el-GR"/>
              </w:rPr>
              <w:t>Olijfolie</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mild</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250ml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1,79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Spain</w:t>
            </w:r>
            <w:proofErr w:type="spellEnd"/>
          </w:p>
        </w:tc>
      </w:tr>
      <w:tr w:rsidR="00546DB1" w:rsidRPr="000555DC" w:rsidTr="00D057D7">
        <w:trPr>
          <w:trHeight w:val="279"/>
        </w:trPr>
        <w:tc>
          <w:tcPr>
            <w:tcW w:w="1572" w:type="dxa"/>
            <w:shd w:val="clear" w:color="000000" w:fill="B8CCE4"/>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val="nl-NL" w:eastAsia="el-GR"/>
              </w:rPr>
            </w:pPr>
            <w:r w:rsidRPr="000555DC">
              <w:rPr>
                <w:rFonts w:asciiTheme="minorHAnsi" w:eastAsia="Times New Roman" w:hAnsiTheme="minorHAnsi"/>
                <w:color w:val="000000"/>
                <w:sz w:val="22"/>
                <w:lang w:val="nl-NL" w:eastAsia="el-GR"/>
              </w:rPr>
              <w:t xml:space="preserve">AH BASIC Olijfolie extra </w:t>
            </w:r>
            <w:r w:rsidR="003B1EB3" w:rsidRPr="000555DC">
              <w:rPr>
                <w:rFonts w:asciiTheme="minorHAnsi" w:eastAsia="Times New Roman" w:hAnsiTheme="minorHAnsi"/>
                <w:color w:val="000000"/>
                <w:sz w:val="22"/>
                <w:lang w:val="nl-NL" w:eastAsia="el-GR"/>
              </w:rPr>
              <w:t>vierge</w:t>
            </w:r>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1L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3,99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Spain</w:t>
            </w:r>
            <w:proofErr w:type="spellEnd"/>
          </w:p>
        </w:tc>
      </w:tr>
      <w:tr w:rsidR="00546DB1" w:rsidRPr="000555DC" w:rsidTr="00D057D7">
        <w:trPr>
          <w:trHeight w:val="279"/>
        </w:trPr>
        <w:tc>
          <w:tcPr>
            <w:tcW w:w="1572" w:type="dxa"/>
            <w:shd w:val="clear" w:color="000000" w:fill="B8CCE4"/>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val="nl-NL" w:eastAsia="el-GR"/>
              </w:rPr>
            </w:pPr>
            <w:r w:rsidRPr="000555DC">
              <w:rPr>
                <w:rFonts w:asciiTheme="minorHAnsi" w:eastAsia="Times New Roman" w:hAnsiTheme="minorHAnsi"/>
                <w:color w:val="000000"/>
                <w:sz w:val="22"/>
                <w:lang w:val="nl-NL" w:eastAsia="el-GR"/>
              </w:rPr>
              <w:t xml:space="preserve">AH Excellent Olijfolie extra </w:t>
            </w:r>
            <w:r w:rsidR="003B1EB3" w:rsidRPr="000555DC">
              <w:rPr>
                <w:rFonts w:asciiTheme="minorHAnsi" w:eastAsia="Times New Roman" w:hAnsiTheme="minorHAnsi"/>
                <w:color w:val="000000"/>
                <w:sz w:val="22"/>
                <w:lang w:val="nl-NL" w:eastAsia="el-GR"/>
              </w:rPr>
              <w:t>vierge</w:t>
            </w:r>
            <w:r w:rsidRPr="000555DC">
              <w:rPr>
                <w:rFonts w:asciiTheme="minorHAnsi" w:eastAsia="Times New Roman" w:hAnsiTheme="minorHAnsi"/>
                <w:color w:val="000000"/>
                <w:sz w:val="22"/>
                <w:lang w:val="nl-NL" w:eastAsia="el-GR"/>
              </w:rPr>
              <w:t xml:space="preserve"> Italiaans</w:t>
            </w:r>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500ml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3,79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Italy</w:t>
            </w:r>
            <w:proofErr w:type="spellEnd"/>
          </w:p>
        </w:tc>
      </w:tr>
      <w:tr w:rsidR="00546DB1" w:rsidRPr="000555DC" w:rsidTr="00D057D7">
        <w:trPr>
          <w:trHeight w:val="279"/>
        </w:trPr>
        <w:tc>
          <w:tcPr>
            <w:tcW w:w="1572" w:type="dxa"/>
            <w:shd w:val="clear" w:color="000000" w:fill="B8CCE4"/>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val="nl-NL" w:eastAsia="el-GR"/>
              </w:rPr>
            </w:pPr>
            <w:r w:rsidRPr="000555DC">
              <w:rPr>
                <w:rFonts w:asciiTheme="minorHAnsi" w:eastAsia="Times New Roman" w:hAnsiTheme="minorHAnsi"/>
                <w:color w:val="000000"/>
                <w:sz w:val="22"/>
                <w:lang w:val="nl-NL" w:eastAsia="el-GR"/>
              </w:rPr>
              <w:t xml:space="preserve">AH Excellent Olijfolie extra </w:t>
            </w:r>
            <w:r w:rsidR="003B1EB3" w:rsidRPr="000555DC">
              <w:rPr>
                <w:rFonts w:asciiTheme="minorHAnsi" w:eastAsia="Times New Roman" w:hAnsiTheme="minorHAnsi"/>
                <w:color w:val="000000"/>
                <w:sz w:val="22"/>
                <w:lang w:val="nl-NL" w:eastAsia="el-GR"/>
              </w:rPr>
              <w:t>vierge</w:t>
            </w:r>
            <w:r w:rsidRPr="000555DC">
              <w:rPr>
                <w:rFonts w:asciiTheme="minorHAnsi" w:eastAsia="Times New Roman" w:hAnsiTheme="minorHAnsi"/>
                <w:color w:val="000000"/>
                <w:sz w:val="22"/>
                <w:lang w:val="nl-NL" w:eastAsia="el-GR"/>
              </w:rPr>
              <w:t xml:space="preserve"> Grieks</w:t>
            </w:r>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500ml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3,79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Greece</w:t>
            </w:r>
          </w:p>
        </w:tc>
      </w:tr>
      <w:tr w:rsidR="00546DB1" w:rsidRPr="000555DC" w:rsidTr="00D057D7">
        <w:trPr>
          <w:trHeight w:val="279"/>
        </w:trPr>
        <w:tc>
          <w:tcPr>
            <w:tcW w:w="1572" w:type="dxa"/>
            <w:shd w:val="clear" w:color="000000" w:fill="B8CCE4"/>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val="nl-NL" w:eastAsia="el-GR"/>
              </w:rPr>
            </w:pPr>
            <w:r w:rsidRPr="000555DC">
              <w:rPr>
                <w:rFonts w:asciiTheme="minorHAnsi" w:eastAsia="Times New Roman" w:hAnsiTheme="minorHAnsi"/>
                <w:color w:val="000000"/>
                <w:sz w:val="22"/>
                <w:lang w:val="nl-NL" w:eastAsia="el-GR"/>
              </w:rPr>
              <w:t>AH Excellent Olijfolie extra vierge Spaans</w:t>
            </w:r>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500ml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3,79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Spain</w:t>
            </w:r>
            <w:proofErr w:type="spellEnd"/>
          </w:p>
        </w:tc>
      </w:tr>
      <w:tr w:rsidR="00546DB1" w:rsidRPr="000555DC" w:rsidTr="00D057D7">
        <w:trPr>
          <w:trHeight w:val="279"/>
        </w:trPr>
        <w:tc>
          <w:tcPr>
            <w:tcW w:w="1572" w:type="dxa"/>
            <w:shd w:val="clear" w:color="000000" w:fill="B8CCE4"/>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xml:space="preserve">AH </w:t>
            </w:r>
            <w:proofErr w:type="spellStart"/>
            <w:r w:rsidRPr="000555DC">
              <w:rPr>
                <w:rFonts w:asciiTheme="minorHAnsi" w:eastAsia="Times New Roman" w:hAnsiTheme="minorHAnsi"/>
                <w:color w:val="000000"/>
                <w:sz w:val="22"/>
                <w:lang w:eastAsia="el-GR"/>
              </w:rPr>
              <w:t>Excellent</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Australiesche</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olijfolie</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500ml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3,79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Australia</w:t>
            </w:r>
            <w:proofErr w:type="spellEnd"/>
          </w:p>
        </w:tc>
      </w:tr>
      <w:tr w:rsidR="00546DB1" w:rsidRPr="000555DC" w:rsidTr="00D057D7">
        <w:trPr>
          <w:trHeight w:val="279"/>
        </w:trPr>
        <w:tc>
          <w:tcPr>
            <w:tcW w:w="1572" w:type="dxa"/>
            <w:shd w:val="clear" w:color="000000" w:fill="B8CCE4"/>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val="nl-NL" w:eastAsia="el-GR"/>
              </w:rPr>
            </w:pPr>
            <w:r w:rsidRPr="000555DC">
              <w:rPr>
                <w:rFonts w:asciiTheme="minorHAnsi" w:eastAsia="Times New Roman" w:hAnsiTheme="minorHAnsi"/>
                <w:color w:val="000000"/>
                <w:sz w:val="22"/>
                <w:lang w:val="nl-NL" w:eastAsia="el-GR"/>
              </w:rPr>
              <w:t>AH puur&amp;eerlijk biologische olijfolie extra vierge</w:t>
            </w:r>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500ml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4,49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r>
      <w:tr w:rsidR="00546DB1" w:rsidRPr="000555DC" w:rsidTr="00D057D7">
        <w:trPr>
          <w:trHeight w:val="279"/>
        </w:trPr>
        <w:tc>
          <w:tcPr>
            <w:tcW w:w="1572" w:type="dxa"/>
            <w:shd w:val="clear" w:color="000000" w:fill="B8CCE4"/>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val="nl-NL" w:eastAsia="el-GR"/>
              </w:rPr>
            </w:pPr>
            <w:r w:rsidRPr="000555DC">
              <w:rPr>
                <w:rFonts w:asciiTheme="minorHAnsi" w:eastAsia="Times New Roman" w:hAnsiTheme="minorHAnsi"/>
                <w:color w:val="000000"/>
                <w:sz w:val="22"/>
                <w:lang w:val="nl-NL" w:eastAsia="el-GR"/>
              </w:rPr>
              <w:t>Bertolli Extra vergine olijfolie originale</w:t>
            </w:r>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1L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5,69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Italy</w:t>
            </w:r>
            <w:proofErr w:type="spellEnd"/>
            <w:r w:rsidRPr="000555DC">
              <w:rPr>
                <w:rFonts w:asciiTheme="minorHAnsi" w:eastAsia="Times New Roman" w:hAnsiTheme="minorHAnsi"/>
                <w:color w:val="000000"/>
                <w:sz w:val="22"/>
                <w:lang w:eastAsia="el-GR"/>
              </w:rPr>
              <w:t xml:space="preserve"> </w:t>
            </w:r>
          </w:p>
        </w:tc>
      </w:tr>
      <w:tr w:rsidR="00546DB1" w:rsidRPr="000555DC" w:rsidTr="00D057D7">
        <w:trPr>
          <w:trHeight w:val="279"/>
        </w:trPr>
        <w:tc>
          <w:tcPr>
            <w:tcW w:w="1572" w:type="dxa"/>
            <w:shd w:val="clear" w:color="000000" w:fill="B8CCE4"/>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Bertolli</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Olijfolie</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classico</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1L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6,09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Italy</w:t>
            </w:r>
            <w:proofErr w:type="spellEnd"/>
            <w:r w:rsidRPr="000555DC">
              <w:rPr>
                <w:rFonts w:asciiTheme="minorHAnsi" w:eastAsia="Times New Roman" w:hAnsiTheme="minorHAnsi"/>
                <w:color w:val="000000"/>
                <w:sz w:val="22"/>
                <w:lang w:eastAsia="el-GR"/>
              </w:rPr>
              <w:t xml:space="preserve"> </w:t>
            </w:r>
          </w:p>
        </w:tc>
      </w:tr>
      <w:tr w:rsidR="00546DB1" w:rsidRPr="000555DC" w:rsidTr="00D057D7">
        <w:trPr>
          <w:trHeight w:val="279"/>
        </w:trPr>
        <w:tc>
          <w:tcPr>
            <w:tcW w:w="1572" w:type="dxa"/>
            <w:shd w:val="clear" w:color="000000" w:fill="B8CCE4"/>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Bertolli</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Olijfolie</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classico</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500ml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3,55</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Italy</w:t>
            </w:r>
            <w:proofErr w:type="spellEnd"/>
            <w:r w:rsidRPr="000555DC">
              <w:rPr>
                <w:rFonts w:asciiTheme="minorHAnsi" w:eastAsia="Times New Roman" w:hAnsiTheme="minorHAnsi"/>
                <w:color w:val="000000"/>
                <w:sz w:val="22"/>
                <w:lang w:eastAsia="el-GR"/>
              </w:rPr>
              <w:t xml:space="preserve"> </w:t>
            </w:r>
          </w:p>
        </w:tc>
      </w:tr>
      <w:tr w:rsidR="00546DB1" w:rsidRPr="000555DC" w:rsidTr="00D057D7">
        <w:trPr>
          <w:trHeight w:val="279"/>
        </w:trPr>
        <w:tc>
          <w:tcPr>
            <w:tcW w:w="1572" w:type="dxa"/>
            <w:shd w:val="clear" w:color="000000" w:fill="B8CCE4"/>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Bertolli</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Olijfolie</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originale</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500ml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3,15</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Italy</w:t>
            </w:r>
            <w:proofErr w:type="spellEnd"/>
            <w:r w:rsidRPr="000555DC">
              <w:rPr>
                <w:rFonts w:asciiTheme="minorHAnsi" w:eastAsia="Times New Roman" w:hAnsiTheme="minorHAnsi"/>
                <w:color w:val="000000"/>
                <w:sz w:val="22"/>
                <w:lang w:eastAsia="el-GR"/>
              </w:rPr>
              <w:t xml:space="preserve"> </w:t>
            </w:r>
          </w:p>
        </w:tc>
      </w:tr>
      <w:tr w:rsidR="00546DB1" w:rsidRPr="000555DC" w:rsidTr="00D057D7">
        <w:trPr>
          <w:trHeight w:val="279"/>
        </w:trPr>
        <w:tc>
          <w:tcPr>
            <w:tcW w:w="1572" w:type="dxa"/>
            <w:shd w:val="clear" w:color="000000" w:fill="B8CCE4"/>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val="en-US" w:eastAsia="el-GR"/>
              </w:rPr>
            </w:pPr>
            <w:proofErr w:type="spellStart"/>
            <w:r w:rsidRPr="000555DC">
              <w:rPr>
                <w:rFonts w:asciiTheme="minorHAnsi" w:eastAsia="Times New Roman" w:hAnsiTheme="minorHAnsi"/>
                <w:color w:val="000000"/>
                <w:sz w:val="22"/>
                <w:lang w:val="en-US" w:eastAsia="el-GR"/>
              </w:rPr>
              <w:t>Berolli</w:t>
            </w:r>
            <w:proofErr w:type="spellEnd"/>
            <w:r w:rsidRPr="000555DC">
              <w:rPr>
                <w:rFonts w:asciiTheme="minorHAnsi" w:eastAsia="Times New Roman" w:hAnsiTheme="minorHAnsi"/>
                <w:color w:val="000000"/>
                <w:sz w:val="22"/>
                <w:lang w:val="en-US" w:eastAsia="el-GR"/>
              </w:rPr>
              <w:t xml:space="preserve"> Olio di </w:t>
            </w:r>
            <w:proofErr w:type="spellStart"/>
            <w:r w:rsidRPr="000555DC">
              <w:rPr>
                <w:rFonts w:asciiTheme="minorHAnsi" w:eastAsia="Times New Roman" w:hAnsiTheme="minorHAnsi"/>
                <w:color w:val="000000"/>
                <w:sz w:val="22"/>
                <w:lang w:val="en-US" w:eastAsia="el-GR"/>
              </w:rPr>
              <w:t>oliva</w:t>
            </w:r>
            <w:proofErr w:type="spellEnd"/>
            <w:r w:rsidRPr="000555DC">
              <w:rPr>
                <w:rFonts w:asciiTheme="minorHAnsi" w:eastAsia="Times New Roman" w:hAnsiTheme="minorHAnsi"/>
                <w:color w:val="000000"/>
                <w:sz w:val="22"/>
                <w:lang w:val="en-US" w:eastAsia="el-GR"/>
              </w:rPr>
              <w:t xml:space="preserve"> </w:t>
            </w:r>
            <w:proofErr w:type="spellStart"/>
            <w:r w:rsidRPr="000555DC">
              <w:rPr>
                <w:rFonts w:asciiTheme="minorHAnsi" w:eastAsia="Times New Roman" w:hAnsiTheme="minorHAnsi"/>
                <w:color w:val="000000"/>
                <w:sz w:val="22"/>
                <w:lang w:val="en-US" w:eastAsia="el-GR"/>
              </w:rPr>
              <w:t>classico</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2L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9,99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Italy</w:t>
            </w:r>
            <w:proofErr w:type="spellEnd"/>
            <w:r w:rsidRPr="000555DC">
              <w:rPr>
                <w:rFonts w:asciiTheme="minorHAnsi" w:eastAsia="Times New Roman" w:hAnsiTheme="minorHAnsi"/>
                <w:color w:val="000000"/>
                <w:sz w:val="22"/>
                <w:lang w:eastAsia="el-GR"/>
              </w:rPr>
              <w:t xml:space="preserve"> </w:t>
            </w:r>
          </w:p>
        </w:tc>
      </w:tr>
      <w:tr w:rsidR="00546DB1" w:rsidRPr="000555DC" w:rsidTr="00D057D7">
        <w:trPr>
          <w:trHeight w:val="279"/>
        </w:trPr>
        <w:tc>
          <w:tcPr>
            <w:tcW w:w="1572" w:type="dxa"/>
            <w:shd w:val="clear" w:color="000000" w:fill="B8CCE4"/>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val="en-US" w:eastAsia="el-GR"/>
              </w:rPr>
            </w:pPr>
            <w:proofErr w:type="spellStart"/>
            <w:r w:rsidRPr="000555DC">
              <w:rPr>
                <w:rFonts w:asciiTheme="minorHAnsi" w:eastAsia="Times New Roman" w:hAnsiTheme="minorHAnsi"/>
                <w:color w:val="000000"/>
                <w:sz w:val="22"/>
                <w:lang w:val="en-US" w:eastAsia="el-GR"/>
              </w:rPr>
              <w:t>Berolli</w:t>
            </w:r>
            <w:proofErr w:type="spellEnd"/>
            <w:r w:rsidRPr="000555DC">
              <w:rPr>
                <w:rFonts w:asciiTheme="minorHAnsi" w:eastAsia="Times New Roman" w:hAnsiTheme="minorHAnsi"/>
                <w:color w:val="000000"/>
                <w:sz w:val="22"/>
                <w:lang w:val="en-US" w:eastAsia="el-GR"/>
              </w:rPr>
              <w:t xml:space="preserve"> Extra </w:t>
            </w:r>
            <w:proofErr w:type="spellStart"/>
            <w:r w:rsidRPr="000555DC">
              <w:rPr>
                <w:rFonts w:asciiTheme="minorHAnsi" w:eastAsia="Times New Roman" w:hAnsiTheme="minorHAnsi"/>
                <w:color w:val="000000"/>
                <w:sz w:val="22"/>
                <w:lang w:val="en-US" w:eastAsia="el-GR"/>
              </w:rPr>
              <w:t>vergine</w:t>
            </w:r>
            <w:proofErr w:type="spellEnd"/>
            <w:r w:rsidRPr="000555DC">
              <w:rPr>
                <w:rFonts w:asciiTheme="minorHAnsi" w:eastAsia="Times New Roman" w:hAnsiTheme="minorHAnsi"/>
                <w:color w:val="000000"/>
                <w:sz w:val="22"/>
                <w:lang w:val="en-US" w:eastAsia="el-GR"/>
              </w:rPr>
              <w:t xml:space="preserve"> olio di </w:t>
            </w:r>
            <w:proofErr w:type="spellStart"/>
            <w:r w:rsidRPr="000555DC">
              <w:rPr>
                <w:rFonts w:asciiTheme="minorHAnsi" w:eastAsia="Times New Roman" w:hAnsiTheme="minorHAnsi"/>
                <w:color w:val="000000"/>
                <w:sz w:val="22"/>
                <w:lang w:val="en-US" w:eastAsia="el-GR"/>
              </w:rPr>
              <w:t>olivia</w:t>
            </w:r>
            <w:proofErr w:type="spellEnd"/>
            <w:r w:rsidRPr="000555DC">
              <w:rPr>
                <w:rFonts w:asciiTheme="minorHAnsi" w:eastAsia="Times New Roman" w:hAnsiTheme="minorHAnsi"/>
                <w:color w:val="000000"/>
                <w:sz w:val="22"/>
                <w:lang w:val="en-US" w:eastAsia="el-GR"/>
              </w:rPr>
              <w:t xml:space="preserve"> </w:t>
            </w:r>
            <w:proofErr w:type="spellStart"/>
            <w:r w:rsidRPr="000555DC">
              <w:rPr>
                <w:rFonts w:asciiTheme="minorHAnsi" w:eastAsia="Times New Roman" w:hAnsiTheme="minorHAnsi"/>
                <w:color w:val="000000"/>
                <w:sz w:val="22"/>
                <w:lang w:val="en-US" w:eastAsia="el-GR"/>
              </w:rPr>
              <w:t>classico</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2L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9,99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Italy</w:t>
            </w:r>
            <w:proofErr w:type="spellEnd"/>
            <w:r w:rsidRPr="000555DC">
              <w:rPr>
                <w:rFonts w:asciiTheme="minorHAnsi" w:eastAsia="Times New Roman" w:hAnsiTheme="minorHAnsi"/>
                <w:color w:val="000000"/>
                <w:sz w:val="22"/>
                <w:lang w:eastAsia="el-GR"/>
              </w:rPr>
              <w:t xml:space="preserve"> </w:t>
            </w:r>
          </w:p>
        </w:tc>
      </w:tr>
      <w:tr w:rsidR="00546DB1" w:rsidRPr="000555DC" w:rsidTr="00D057D7">
        <w:trPr>
          <w:trHeight w:val="279"/>
        </w:trPr>
        <w:tc>
          <w:tcPr>
            <w:tcW w:w="1572" w:type="dxa"/>
            <w:shd w:val="clear" w:color="000000" w:fill="B8CCE4"/>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val="en-US" w:eastAsia="el-GR"/>
              </w:rPr>
            </w:pPr>
            <w:proofErr w:type="spellStart"/>
            <w:r w:rsidRPr="000555DC">
              <w:rPr>
                <w:rFonts w:asciiTheme="minorHAnsi" w:eastAsia="Times New Roman" w:hAnsiTheme="minorHAnsi"/>
                <w:color w:val="000000"/>
                <w:sz w:val="22"/>
                <w:lang w:val="en-US" w:eastAsia="el-GR"/>
              </w:rPr>
              <w:t>Bertolli</w:t>
            </w:r>
            <w:proofErr w:type="spellEnd"/>
            <w:r w:rsidRPr="000555DC">
              <w:rPr>
                <w:rFonts w:asciiTheme="minorHAnsi" w:eastAsia="Times New Roman" w:hAnsiTheme="minorHAnsi"/>
                <w:color w:val="000000"/>
                <w:sz w:val="22"/>
                <w:lang w:val="en-US" w:eastAsia="el-GR"/>
              </w:rPr>
              <w:t xml:space="preserve"> Extra </w:t>
            </w:r>
            <w:proofErr w:type="spellStart"/>
            <w:r w:rsidRPr="000555DC">
              <w:rPr>
                <w:rFonts w:asciiTheme="minorHAnsi" w:eastAsia="Times New Roman" w:hAnsiTheme="minorHAnsi"/>
                <w:color w:val="000000"/>
                <w:sz w:val="22"/>
                <w:lang w:val="en-US" w:eastAsia="el-GR"/>
              </w:rPr>
              <w:t>vergine</w:t>
            </w:r>
            <w:proofErr w:type="spellEnd"/>
            <w:r w:rsidRPr="000555DC">
              <w:rPr>
                <w:rFonts w:asciiTheme="minorHAnsi" w:eastAsia="Times New Roman" w:hAnsiTheme="minorHAnsi"/>
                <w:color w:val="000000"/>
                <w:sz w:val="22"/>
                <w:lang w:val="en-US" w:eastAsia="el-GR"/>
              </w:rPr>
              <w:t xml:space="preserve"> olio di </w:t>
            </w:r>
            <w:proofErr w:type="spellStart"/>
            <w:r w:rsidRPr="000555DC">
              <w:rPr>
                <w:rFonts w:asciiTheme="minorHAnsi" w:eastAsia="Times New Roman" w:hAnsiTheme="minorHAnsi"/>
                <w:color w:val="000000"/>
                <w:sz w:val="22"/>
                <w:lang w:val="en-US" w:eastAsia="el-GR"/>
              </w:rPr>
              <w:t>oliva</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250ml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2,70</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Italy</w:t>
            </w:r>
            <w:proofErr w:type="spellEnd"/>
            <w:r w:rsidRPr="000555DC">
              <w:rPr>
                <w:rFonts w:asciiTheme="minorHAnsi" w:eastAsia="Times New Roman" w:hAnsiTheme="minorHAnsi"/>
                <w:color w:val="000000"/>
                <w:sz w:val="22"/>
                <w:lang w:eastAsia="el-GR"/>
              </w:rPr>
              <w:t xml:space="preserve"> </w:t>
            </w:r>
          </w:p>
        </w:tc>
      </w:tr>
      <w:tr w:rsidR="00546DB1" w:rsidRPr="000555DC" w:rsidTr="00D057D7">
        <w:trPr>
          <w:trHeight w:val="279"/>
        </w:trPr>
        <w:tc>
          <w:tcPr>
            <w:tcW w:w="1572" w:type="dxa"/>
            <w:shd w:val="clear" w:color="000000" w:fill="B8CCE4"/>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val="nl-NL" w:eastAsia="el-GR"/>
              </w:rPr>
            </w:pPr>
            <w:r w:rsidRPr="000555DC">
              <w:rPr>
                <w:rFonts w:asciiTheme="minorHAnsi" w:eastAsia="Times New Roman" w:hAnsiTheme="minorHAnsi"/>
                <w:color w:val="000000"/>
                <w:sz w:val="22"/>
                <w:lang w:val="nl-NL" w:eastAsia="el-GR"/>
              </w:rPr>
              <w:t>Bertolli Extra vergine olijfolie gentile</w:t>
            </w:r>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500ml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5,21</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Italy</w:t>
            </w:r>
            <w:proofErr w:type="spellEnd"/>
            <w:r w:rsidRPr="000555DC">
              <w:rPr>
                <w:rFonts w:asciiTheme="minorHAnsi" w:eastAsia="Times New Roman" w:hAnsiTheme="minorHAnsi"/>
                <w:color w:val="000000"/>
                <w:sz w:val="22"/>
                <w:lang w:eastAsia="el-GR"/>
              </w:rPr>
              <w:t xml:space="preserve"> </w:t>
            </w:r>
          </w:p>
        </w:tc>
      </w:tr>
      <w:tr w:rsidR="00546DB1" w:rsidRPr="000555DC" w:rsidTr="00D057D7">
        <w:trPr>
          <w:trHeight w:val="279"/>
        </w:trPr>
        <w:tc>
          <w:tcPr>
            <w:tcW w:w="1572" w:type="dxa"/>
            <w:shd w:val="clear" w:color="000000" w:fill="B8CCE4"/>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val="en-US" w:eastAsia="el-GR"/>
              </w:rPr>
            </w:pPr>
            <w:proofErr w:type="spellStart"/>
            <w:r w:rsidRPr="000555DC">
              <w:rPr>
                <w:rFonts w:asciiTheme="minorHAnsi" w:eastAsia="Times New Roman" w:hAnsiTheme="minorHAnsi"/>
                <w:color w:val="000000"/>
                <w:sz w:val="22"/>
                <w:lang w:val="en-US" w:eastAsia="el-GR"/>
              </w:rPr>
              <w:t>Bertolli</w:t>
            </w:r>
            <w:proofErr w:type="spellEnd"/>
            <w:r w:rsidRPr="000555DC">
              <w:rPr>
                <w:rFonts w:asciiTheme="minorHAnsi" w:eastAsia="Times New Roman" w:hAnsiTheme="minorHAnsi"/>
                <w:color w:val="000000"/>
                <w:sz w:val="22"/>
                <w:lang w:val="en-US" w:eastAsia="el-GR"/>
              </w:rPr>
              <w:t xml:space="preserve"> Olio di </w:t>
            </w:r>
            <w:proofErr w:type="spellStart"/>
            <w:r w:rsidRPr="000555DC">
              <w:rPr>
                <w:rFonts w:asciiTheme="minorHAnsi" w:eastAsia="Times New Roman" w:hAnsiTheme="minorHAnsi"/>
                <w:color w:val="000000"/>
                <w:sz w:val="22"/>
                <w:lang w:val="en-US" w:eastAsia="el-GR"/>
              </w:rPr>
              <w:t>oliva</w:t>
            </w:r>
            <w:proofErr w:type="spellEnd"/>
            <w:r w:rsidRPr="000555DC">
              <w:rPr>
                <w:rFonts w:asciiTheme="minorHAnsi" w:eastAsia="Times New Roman" w:hAnsiTheme="minorHAnsi"/>
                <w:color w:val="000000"/>
                <w:sz w:val="22"/>
                <w:lang w:val="en-US" w:eastAsia="el-GR"/>
              </w:rPr>
              <w:t xml:space="preserve"> extra </w:t>
            </w:r>
            <w:proofErr w:type="spellStart"/>
            <w:r w:rsidRPr="000555DC">
              <w:rPr>
                <w:rFonts w:asciiTheme="minorHAnsi" w:eastAsia="Times New Roman" w:hAnsiTheme="minorHAnsi"/>
                <w:color w:val="000000"/>
                <w:sz w:val="22"/>
                <w:lang w:val="en-US" w:eastAsia="el-GR"/>
              </w:rPr>
              <w:t>vergine</w:t>
            </w:r>
            <w:proofErr w:type="spellEnd"/>
            <w:r w:rsidRPr="000555DC">
              <w:rPr>
                <w:rFonts w:asciiTheme="minorHAnsi" w:eastAsia="Times New Roman" w:hAnsiTheme="minorHAnsi"/>
                <w:color w:val="000000"/>
                <w:sz w:val="22"/>
                <w:lang w:val="en-US" w:eastAsia="el-GR"/>
              </w:rPr>
              <w:t xml:space="preserve"> bio</w:t>
            </w:r>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500ml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5,45</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Italy</w:t>
            </w:r>
            <w:proofErr w:type="spellEnd"/>
            <w:r w:rsidRPr="000555DC">
              <w:rPr>
                <w:rFonts w:asciiTheme="minorHAnsi" w:eastAsia="Times New Roman" w:hAnsiTheme="minorHAnsi"/>
                <w:color w:val="000000"/>
                <w:sz w:val="22"/>
                <w:lang w:eastAsia="el-GR"/>
              </w:rPr>
              <w:t xml:space="preserve"> </w:t>
            </w:r>
          </w:p>
        </w:tc>
      </w:tr>
      <w:tr w:rsidR="00546DB1" w:rsidRPr="000555DC" w:rsidTr="00D057D7">
        <w:trPr>
          <w:trHeight w:val="279"/>
        </w:trPr>
        <w:tc>
          <w:tcPr>
            <w:tcW w:w="1572" w:type="dxa"/>
            <w:shd w:val="clear" w:color="000000" w:fill="B8CCE4"/>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val="en-US" w:eastAsia="el-GR"/>
              </w:rPr>
            </w:pPr>
            <w:proofErr w:type="spellStart"/>
            <w:r w:rsidRPr="000555DC">
              <w:rPr>
                <w:rFonts w:asciiTheme="minorHAnsi" w:eastAsia="Times New Roman" w:hAnsiTheme="minorHAnsi"/>
                <w:color w:val="000000"/>
                <w:sz w:val="22"/>
                <w:lang w:val="en-US" w:eastAsia="el-GR"/>
              </w:rPr>
              <w:t>Bertolli</w:t>
            </w:r>
            <w:proofErr w:type="spellEnd"/>
            <w:r w:rsidRPr="000555DC">
              <w:rPr>
                <w:rFonts w:asciiTheme="minorHAnsi" w:eastAsia="Times New Roman" w:hAnsiTheme="minorHAnsi"/>
                <w:color w:val="000000"/>
                <w:sz w:val="22"/>
                <w:lang w:val="en-US" w:eastAsia="el-GR"/>
              </w:rPr>
              <w:t xml:space="preserve"> Olio di </w:t>
            </w:r>
            <w:proofErr w:type="spellStart"/>
            <w:r w:rsidRPr="000555DC">
              <w:rPr>
                <w:rFonts w:asciiTheme="minorHAnsi" w:eastAsia="Times New Roman" w:hAnsiTheme="minorHAnsi"/>
                <w:color w:val="000000"/>
                <w:sz w:val="22"/>
                <w:lang w:val="en-US" w:eastAsia="el-GR"/>
              </w:rPr>
              <w:t>oliva</w:t>
            </w:r>
            <w:proofErr w:type="spellEnd"/>
            <w:r w:rsidRPr="000555DC">
              <w:rPr>
                <w:rFonts w:asciiTheme="minorHAnsi" w:eastAsia="Times New Roman" w:hAnsiTheme="minorHAnsi"/>
                <w:color w:val="000000"/>
                <w:sz w:val="22"/>
                <w:lang w:val="en-US" w:eastAsia="el-GR"/>
              </w:rPr>
              <w:t xml:space="preserve"> </w:t>
            </w:r>
            <w:proofErr w:type="spellStart"/>
            <w:r w:rsidRPr="000555DC">
              <w:rPr>
                <w:rFonts w:asciiTheme="minorHAnsi" w:eastAsia="Times New Roman" w:hAnsiTheme="minorHAnsi"/>
                <w:color w:val="000000"/>
                <w:sz w:val="22"/>
                <w:lang w:val="en-US" w:eastAsia="el-GR"/>
              </w:rPr>
              <w:t>classico</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250ml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2,99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Italy</w:t>
            </w:r>
            <w:proofErr w:type="spellEnd"/>
            <w:r w:rsidRPr="000555DC">
              <w:rPr>
                <w:rFonts w:asciiTheme="minorHAnsi" w:eastAsia="Times New Roman" w:hAnsiTheme="minorHAnsi"/>
                <w:color w:val="000000"/>
                <w:sz w:val="22"/>
                <w:lang w:eastAsia="el-GR"/>
              </w:rPr>
              <w:t xml:space="preserve"> </w:t>
            </w:r>
          </w:p>
        </w:tc>
      </w:tr>
      <w:tr w:rsidR="00546DB1" w:rsidRPr="000555DC" w:rsidTr="00D057D7">
        <w:trPr>
          <w:trHeight w:val="279"/>
        </w:trPr>
        <w:tc>
          <w:tcPr>
            <w:tcW w:w="1572" w:type="dxa"/>
            <w:shd w:val="clear" w:color="000000" w:fill="B8CCE4"/>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Bertolli</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Delicato</w:t>
            </w:r>
            <w:proofErr w:type="spellEnd"/>
            <w:r w:rsidRPr="000555DC">
              <w:rPr>
                <w:rFonts w:asciiTheme="minorHAnsi" w:eastAsia="Times New Roman" w:hAnsiTheme="minorHAnsi"/>
                <w:color w:val="000000"/>
                <w:sz w:val="22"/>
                <w:lang w:eastAsia="el-GR"/>
              </w:rPr>
              <w:t xml:space="preserve"> </w:t>
            </w:r>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1L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6,09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Italy</w:t>
            </w:r>
            <w:proofErr w:type="spellEnd"/>
            <w:r w:rsidRPr="000555DC">
              <w:rPr>
                <w:rFonts w:asciiTheme="minorHAnsi" w:eastAsia="Times New Roman" w:hAnsiTheme="minorHAnsi"/>
                <w:color w:val="000000"/>
                <w:sz w:val="22"/>
                <w:lang w:eastAsia="el-GR"/>
              </w:rPr>
              <w:t xml:space="preserve"> </w:t>
            </w:r>
          </w:p>
        </w:tc>
      </w:tr>
      <w:tr w:rsidR="00546DB1" w:rsidRPr="000555DC" w:rsidTr="00D057D7">
        <w:trPr>
          <w:trHeight w:val="279"/>
        </w:trPr>
        <w:tc>
          <w:tcPr>
            <w:tcW w:w="1572" w:type="dxa"/>
            <w:shd w:val="clear" w:color="000000" w:fill="B8CCE4"/>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Bertolli</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Delicato</w:t>
            </w:r>
            <w:proofErr w:type="spellEnd"/>
            <w:r w:rsidRPr="000555DC">
              <w:rPr>
                <w:rFonts w:asciiTheme="minorHAnsi" w:eastAsia="Times New Roman" w:hAnsiTheme="minorHAnsi"/>
                <w:color w:val="000000"/>
                <w:sz w:val="22"/>
                <w:lang w:eastAsia="el-GR"/>
              </w:rPr>
              <w:t xml:space="preserve"> </w:t>
            </w:r>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500ml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3,55</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Italy</w:t>
            </w:r>
            <w:proofErr w:type="spellEnd"/>
            <w:r w:rsidRPr="000555DC">
              <w:rPr>
                <w:rFonts w:asciiTheme="minorHAnsi" w:eastAsia="Times New Roman" w:hAnsiTheme="minorHAnsi"/>
                <w:color w:val="000000"/>
                <w:sz w:val="22"/>
                <w:lang w:eastAsia="el-GR"/>
              </w:rPr>
              <w:t xml:space="preserve"> </w:t>
            </w:r>
          </w:p>
        </w:tc>
      </w:tr>
      <w:tr w:rsidR="00546DB1" w:rsidRPr="000555DC" w:rsidTr="00D057D7">
        <w:trPr>
          <w:trHeight w:val="279"/>
        </w:trPr>
        <w:tc>
          <w:tcPr>
            <w:tcW w:w="1572" w:type="dxa"/>
            <w:shd w:val="clear" w:color="000000" w:fill="B8CCE4"/>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val="en-US" w:eastAsia="el-GR"/>
              </w:rPr>
            </w:pPr>
            <w:proofErr w:type="spellStart"/>
            <w:r w:rsidRPr="000555DC">
              <w:rPr>
                <w:rFonts w:asciiTheme="minorHAnsi" w:eastAsia="Times New Roman" w:hAnsiTheme="minorHAnsi"/>
                <w:color w:val="000000"/>
                <w:sz w:val="22"/>
                <w:lang w:val="en-US" w:eastAsia="el-GR"/>
              </w:rPr>
              <w:t>Bertolli</w:t>
            </w:r>
            <w:proofErr w:type="spellEnd"/>
            <w:r w:rsidRPr="000555DC">
              <w:rPr>
                <w:rFonts w:asciiTheme="minorHAnsi" w:eastAsia="Times New Roman" w:hAnsiTheme="minorHAnsi"/>
                <w:color w:val="000000"/>
                <w:sz w:val="22"/>
                <w:lang w:val="en-US" w:eastAsia="el-GR"/>
              </w:rPr>
              <w:t xml:space="preserve"> Extra </w:t>
            </w:r>
            <w:proofErr w:type="spellStart"/>
            <w:r w:rsidRPr="000555DC">
              <w:rPr>
                <w:rFonts w:asciiTheme="minorHAnsi" w:eastAsia="Times New Roman" w:hAnsiTheme="minorHAnsi"/>
                <w:color w:val="000000"/>
                <w:sz w:val="22"/>
                <w:lang w:val="en-US" w:eastAsia="el-GR"/>
              </w:rPr>
              <w:t>vergine</w:t>
            </w:r>
            <w:proofErr w:type="spellEnd"/>
            <w:r w:rsidRPr="000555DC">
              <w:rPr>
                <w:rFonts w:asciiTheme="minorHAnsi" w:eastAsia="Times New Roman" w:hAnsiTheme="minorHAnsi"/>
                <w:color w:val="000000"/>
                <w:sz w:val="22"/>
                <w:lang w:val="en-US" w:eastAsia="el-GR"/>
              </w:rPr>
              <w:t xml:space="preserve"> olio di </w:t>
            </w:r>
            <w:proofErr w:type="spellStart"/>
            <w:r w:rsidRPr="000555DC">
              <w:rPr>
                <w:rFonts w:asciiTheme="minorHAnsi" w:eastAsia="Times New Roman" w:hAnsiTheme="minorHAnsi"/>
                <w:color w:val="000000"/>
                <w:sz w:val="22"/>
                <w:lang w:val="en-US" w:eastAsia="el-GR"/>
              </w:rPr>
              <w:t>oliva</w:t>
            </w:r>
            <w:proofErr w:type="spellEnd"/>
            <w:r w:rsidRPr="000555DC">
              <w:rPr>
                <w:rFonts w:asciiTheme="minorHAnsi" w:eastAsia="Times New Roman" w:hAnsiTheme="minorHAnsi"/>
                <w:color w:val="000000"/>
                <w:sz w:val="22"/>
                <w:lang w:val="en-US" w:eastAsia="el-GR"/>
              </w:rPr>
              <w:t xml:space="preserve"> (</w:t>
            </w:r>
            <w:proofErr w:type="spellStart"/>
            <w:r w:rsidRPr="000555DC">
              <w:rPr>
                <w:rFonts w:asciiTheme="minorHAnsi" w:eastAsia="Times New Roman" w:hAnsiTheme="minorHAnsi"/>
                <w:color w:val="000000"/>
                <w:sz w:val="22"/>
                <w:lang w:val="en-US" w:eastAsia="el-GR"/>
              </w:rPr>
              <w:t>olijfolie</w:t>
            </w:r>
            <w:proofErr w:type="spellEnd"/>
            <w:r w:rsidRPr="000555DC">
              <w:rPr>
                <w:rFonts w:asciiTheme="minorHAnsi" w:eastAsia="Times New Roman" w:hAnsiTheme="minorHAnsi"/>
                <w:color w:val="000000"/>
                <w:sz w:val="22"/>
                <w:lang w:val="en-US" w:eastAsia="el-GR"/>
              </w:rPr>
              <w:t>)</w:t>
            </w:r>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1L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6,59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Italy</w:t>
            </w:r>
            <w:proofErr w:type="spellEnd"/>
            <w:r w:rsidRPr="000555DC">
              <w:rPr>
                <w:rFonts w:asciiTheme="minorHAnsi" w:eastAsia="Times New Roman" w:hAnsiTheme="minorHAnsi"/>
                <w:color w:val="000000"/>
                <w:sz w:val="22"/>
                <w:lang w:eastAsia="el-GR"/>
              </w:rPr>
              <w:t xml:space="preserve"> </w:t>
            </w:r>
          </w:p>
        </w:tc>
      </w:tr>
      <w:tr w:rsidR="00546DB1" w:rsidRPr="000555DC" w:rsidTr="00D057D7">
        <w:trPr>
          <w:trHeight w:val="279"/>
        </w:trPr>
        <w:tc>
          <w:tcPr>
            <w:tcW w:w="1572" w:type="dxa"/>
            <w:shd w:val="clear" w:color="000000" w:fill="B8CCE4"/>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val="en-US" w:eastAsia="el-GR"/>
              </w:rPr>
            </w:pPr>
            <w:proofErr w:type="spellStart"/>
            <w:r w:rsidRPr="000555DC">
              <w:rPr>
                <w:rFonts w:asciiTheme="minorHAnsi" w:eastAsia="Times New Roman" w:hAnsiTheme="minorHAnsi"/>
                <w:color w:val="000000"/>
                <w:sz w:val="22"/>
                <w:lang w:val="en-US" w:eastAsia="el-GR"/>
              </w:rPr>
              <w:t>Monini</w:t>
            </w:r>
            <w:proofErr w:type="spellEnd"/>
            <w:r w:rsidRPr="000555DC">
              <w:rPr>
                <w:rFonts w:asciiTheme="minorHAnsi" w:eastAsia="Times New Roman" w:hAnsiTheme="minorHAnsi"/>
                <w:color w:val="000000"/>
                <w:sz w:val="22"/>
                <w:lang w:val="en-US" w:eastAsia="el-GR"/>
              </w:rPr>
              <w:t xml:space="preserve"> </w:t>
            </w:r>
            <w:proofErr w:type="spellStart"/>
            <w:r w:rsidRPr="000555DC">
              <w:rPr>
                <w:rFonts w:asciiTheme="minorHAnsi" w:eastAsia="Times New Roman" w:hAnsiTheme="minorHAnsi"/>
                <w:color w:val="000000"/>
                <w:sz w:val="22"/>
                <w:lang w:val="en-US" w:eastAsia="el-GR"/>
              </w:rPr>
              <w:t>Olijfolie</w:t>
            </w:r>
            <w:proofErr w:type="spellEnd"/>
            <w:r w:rsidRPr="000555DC">
              <w:rPr>
                <w:rFonts w:asciiTheme="minorHAnsi" w:eastAsia="Times New Roman" w:hAnsiTheme="minorHAnsi"/>
                <w:color w:val="000000"/>
                <w:sz w:val="22"/>
                <w:lang w:val="en-US" w:eastAsia="el-GR"/>
              </w:rPr>
              <w:t xml:space="preserve"> gran </w:t>
            </w:r>
            <w:proofErr w:type="spellStart"/>
            <w:r w:rsidRPr="000555DC">
              <w:rPr>
                <w:rFonts w:asciiTheme="minorHAnsi" w:eastAsia="Times New Roman" w:hAnsiTheme="minorHAnsi"/>
                <w:color w:val="000000"/>
                <w:sz w:val="22"/>
                <w:lang w:val="en-US" w:eastAsia="el-GR"/>
              </w:rPr>
              <w:t>frutatto</w:t>
            </w:r>
            <w:proofErr w:type="spellEnd"/>
            <w:r w:rsidRPr="000555DC">
              <w:rPr>
                <w:rFonts w:asciiTheme="minorHAnsi" w:eastAsia="Times New Roman" w:hAnsiTheme="minorHAnsi"/>
                <w:color w:val="000000"/>
                <w:sz w:val="22"/>
                <w:lang w:val="en-US" w:eastAsia="el-GR"/>
              </w:rPr>
              <w:t xml:space="preserve"> extra </w:t>
            </w:r>
            <w:proofErr w:type="spellStart"/>
            <w:r w:rsidRPr="000555DC">
              <w:rPr>
                <w:rFonts w:asciiTheme="minorHAnsi" w:eastAsia="Times New Roman" w:hAnsiTheme="minorHAnsi"/>
                <w:color w:val="000000"/>
                <w:sz w:val="22"/>
                <w:lang w:val="en-US" w:eastAsia="el-GR"/>
              </w:rPr>
              <w:t>vierge</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500ml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4,94</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Italy</w:t>
            </w:r>
            <w:proofErr w:type="spellEnd"/>
          </w:p>
        </w:tc>
      </w:tr>
      <w:tr w:rsidR="00546DB1" w:rsidRPr="000555DC" w:rsidTr="00D057D7">
        <w:trPr>
          <w:trHeight w:val="279"/>
        </w:trPr>
        <w:tc>
          <w:tcPr>
            <w:tcW w:w="1572" w:type="dxa"/>
            <w:shd w:val="clear" w:color="000000" w:fill="B8CCE4"/>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val="en-US" w:eastAsia="el-GR"/>
              </w:rPr>
            </w:pPr>
            <w:proofErr w:type="spellStart"/>
            <w:r w:rsidRPr="000555DC">
              <w:rPr>
                <w:rFonts w:asciiTheme="minorHAnsi" w:eastAsia="Times New Roman" w:hAnsiTheme="minorHAnsi"/>
                <w:color w:val="000000"/>
                <w:sz w:val="22"/>
                <w:lang w:val="en-US" w:eastAsia="el-GR"/>
              </w:rPr>
              <w:t>Monini</w:t>
            </w:r>
            <w:proofErr w:type="spellEnd"/>
            <w:r w:rsidRPr="000555DC">
              <w:rPr>
                <w:rFonts w:asciiTheme="minorHAnsi" w:eastAsia="Times New Roman" w:hAnsiTheme="minorHAnsi"/>
                <w:color w:val="000000"/>
                <w:sz w:val="22"/>
                <w:lang w:val="en-US" w:eastAsia="el-GR"/>
              </w:rPr>
              <w:t xml:space="preserve"> Bios organic extra virgin olive oil</w:t>
            </w:r>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500ml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5,99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Italy</w:t>
            </w:r>
            <w:proofErr w:type="spellEnd"/>
          </w:p>
        </w:tc>
      </w:tr>
      <w:tr w:rsidR="00546DB1" w:rsidRPr="000555DC" w:rsidTr="00D057D7">
        <w:trPr>
          <w:trHeight w:val="279"/>
        </w:trPr>
        <w:tc>
          <w:tcPr>
            <w:tcW w:w="1572" w:type="dxa"/>
            <w:shd w:val="clear" w:color="000000" w:fill="B8CCE4"/>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Monini</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Olijfolie</w:t>
            </w:r>
            <w:proofErr w:type="spellEnd"/>
            <w:r w:rsidRPr="000555DC">
              <w:rPr>
                <w:rFonts w:asciiTheme="minorHAnsi" w:eastAsia="Times New Roman" w:hAnsiTheme="minorHAnsi"/>
                <w:color w:val="000000"/>
                <w:sz w:val="22"/>
                <w:lang w:eastAsia="el-GR"/>
              </w:rPr>
              <w:t xml:space="preserve"> IGP </w:t>
            </w:r>
            <w:proofErr w:type="spellStart"/>
            <w:r w:rsidRPr="000555DC">
              <w:rPr>
                <w:rFonts w:asciiTheme="minorHAnsi" w:eastAsia="Times New Roman" w:hAnsiTheme="minorHAnsi"/>
                <w:color w:val="000000"/>
                <w:sz w:val="22"/>
                <w:lang w:eastAsia="el-GR"/>
              </w:rPr>
              <w:t>Toscane</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500ml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7,99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Italy</w:t>
            </w:r>
            <w:proofErr w:type="spellEnd"/>
          </w:p>
        </w:tc>
      </w:tr>
      <w:tr w:rsidR="00546DB1" w:rsidRPr="000555DC" w:rsidTr="00D057D7">
        <w:trPr>
          <w:trHeight w:val="279"/>
        </w:trPr>
        <w:tc>
          <w:tcPr>
            <w:tcW w:w="1572" w:type="dxa"/>
            <w:shd w:val="clear" w:color="000000" w:fill="B8CCE4"/>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val="en-US" w:eastAsia="el-GR"/>
              </w:rPr>
            </w:pPr>
            <w:proofErr w:type="spellStart"/>
            <w:r w:rsidRPr="000555DC">
              <w:rPr>
                <w:rFonts w:asciiTheme="minorHAnsi" w:eastAsia="Times New Roman" w:hAnsiTheme="minorHAnsi"/>
                <w:color w:val="000000"/>
                <w:sz w:val="22"/>
                <w:lang w:val="en-US" w:eastAsia="el-GR"/>
              </w:rPr>
              <w:t>Monini</w:t>
            </w:r>
            <w:proofErr w:type="spellEnd"/>
            <w:r w:rsidRPr="000555DC">
              <w:rPr>
                <w:rFonts w:asciiTheme="minorHAnsi" w:eastAsia="Times New Roman" w:hAnsiTheme="minorHAnsi"/>
                <w:color w:val="000000"/>
                <w:sz w:val="22"/>
                <w:lang w:val="en-US" w:eastAsia="el-GR"/>
              </w:rPr>
              <w:t xml:space="preserve"> </w:t>
            </w:r>
            <w:proofErr w:type="spellStart"/>
            <w:r w:rsidRPr="000555DC">
              <w:rPr>
                <w:rFonts w:asciiTheme="minorHAnsi" w:eastAsia="Times New Roman" w:hAnsiTheme="minorHAnsi"/>
                <w:color w:val="000000"/>
                <w:sz w:val="22"/>
                <w:lang w:val="en-US" w:eastAsia="el-GR"/>
              </w:rPr>
              <w:t>Classico</w:t>
            </w:r>
            <w:proofErr w:type="spellEnd"/>
            <w:r w:rsidRPr="000555DC">
              <w:rPr>
                <w:rFonts w:asciiTheme="minorHAnsi" w:eastAsia="Times New Roman" w:hAnsiTheme="minorHAnsi"/>
                <w:color w:val="000000"/>
                <w:sz w:val="22"/>
                <w:lang w:val="en-US" w:eastAsia="el-GR"/>
              </w:rPr>
              <w:t xml:space="preserve"> extra </w:t>
            </w:r>
            <w:proofErr w:type="spellStart"/>
            <w:r w:rsidRPr="000555DC">
              <w:rPr>
                <w:rFonts w:asciiTheme="minorHAnsi" w:eastAsia="Times New Roman" w:hAnsiTheme="minorHAnsi"/>
                <w:color w:val="000000"/>
                <w:sz w:val="22"/>
                <w:lang w:val="en-US" w:eastAsia="el-GR"/>
              </w:rPr>
              <w:t>vierge</w:t>
            </w:r>
            <w:proofErr w:type="spellEnd"/>
            <w:r w:rsidRPr="000555DC">
              <w:rPr>
                <w:rFonts w:asciiTheme="minorHAnsi" w:eastAsia="Times New Roman" w:hAnsiTheme="minorHAnsi"/>
                <w:color w:val="000000"/>
                <w:sz w:val="22"/>
                <w:lang w:val="en-US" w:eastAsia="el-GR"/>
              </w:rPr>
              <w:t xml:space="preserve"> </w:t>
            </w:r>
            <w:proofErr w:type="spellStart"/>
            <w:r w:rsidRPr="000555DC">
              <w:rPr>
                <w:rFonts w:asciiTheme="minorHAnsi" w:eastAsia="Times New Roman" w:hAnsiTheme="minorHAnsi"/>
                <w:color w:val="000000"/>
                <w:sz w:val="22"/>
                <w:lang w:val="en-US" w:eastAsia="el-GR"/>
              </w:rPr>
              <w:t>olijfolie</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500ml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3,99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Italy</w:t>
            </w:r>
            <w:proofErr w:type="spellEnd"/>
          </w:p>
        </w:tc>
      </w:tr>
      <w:tr w:rsidR="00546DB1" w:rsidRPr="000555DC" w:rsidTr="00D057D7">
        <w:trPr>
          <w:trHeight w:val="279"/>
        </w:trPr>
        <w:tc>
          <w:tcPr>
            <w:tcW w:w="1572" w:type="dxa"/>
            <w:shd w:val="clear" w:color="000000" w:fill="B8CCE4"/>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val="nl-NL" w:eastAsia="el-GR"/>
              </w:rPr>
            </w:pPr>
            <w:r w:rsidRPr="000555DC">
              <w:rPr>
                <w:rFonts w:asciiTheme="minorHAnsi" w:eastAsia="Times New Roman" w:hAnsiTheme="minorHAnsi"/>
                <w:color w:val="000000"/>
                <w:sz w:val="22"/>
                <w:lang w:val="nl-NL" w:eastAsia="el-GR"/>
              </w:rPr>
              <w:t>Carbonell Extra vergine Spaanse olijfolie</w:t>
            </w:r>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750ml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5,55</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Spain</w:t>
            </w:r>
            <w:proofErr w:type="spellEnd"/>
          </w:p>
        </w:tc>
      </w:tr>
      <w:tr w:rsidR="00546DB1" w:rsidRPr="000555DC" w:rsidTr="00D057D7">
        <w:trPr>
          <w:trHeight w:val="279"/>
        </w:trPr>
        <w:tc>
          <w:tcPr>
            <w:tcW w:w="1572" w:type="dxa"/>
            <w:shd w:val="clear" w:color="000000" w:fill="B8CCE4"/>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Carbonell</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Traditioneel</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Spaanse</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olijfolie</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500ml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3,56</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Spain</w:t>
            </w:r>
            <w:proofErr w:type="spellEnd"/>
          </w:p>
        </w:tc>
      </w:tr>
      <w:tr w:rsidR="00546DB1" w:rsidRPr="000555DC" w:rsidTr="00D057D7">
        <w:trPr>
          <w:trHeight w:val="279"/>
        </w:trPr>
        <w:tc>
          <w:tcPr>
            <w:tcW w:w="1572" w:type="dxa"/>
            <w:shd w:val="clear" w:color="000000" w:fill="B8CCE4"/>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val="nl-NL" w:eastAsia="el-GR"/>
              </w:rPr>
            </w:pPr>
            <w:r w:rsidRPr="000555DC">
              <w:rPr>
                <w:rFonts w:asciiTheme="minorHAnsi" w:eastAsia="Times New Roman" w:hAnsiTheme="minorHAnsi"/>
                <w:color w:val="000000"/>
                <w:sz w:val="22"/>
                <w:lang w:val="nl-NL" w:eastAsia="el-GR"/>
              </w:rPr>
              <w:t>Carbonell Extra vergine Spaanse olijfolie</w:t>
            </w:r>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500ml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3,59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Spain</w:t>
            </w:r>
            <w:proofErr w:type="spellEnd"/>
          </w:p>
        </w:tc>
      </w:tr>
      <w:tr w:rsidR="00546DB1" w:rsidRPr="000555DC" w:rsidTr="00D057D7">
        <w:trPr>
          <w:trHeight w:val="279"/>
        </w:trPr>
        <w:tc>
          <w:tcPr>
            <w:tcW w:w="1572" w:type="dxa"/>
            <w:shd w:val="clear" w:color="000000" w:fill="B8CCE4"/>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val="en-US" w:eastAsia="el-GR"/>
              </w:rPr>
            </w:pPr>
            <w:proofErr w:type="spellStart"/>
            <w:r w:rsidRPr="000555DC">
              <w:rPr>
                <w:rFonts w:asciiTheme="minorHAnsi" w:eastAsia="Times New Roman" w:hAnsiTheme="minorHAnsi"/>
                <w:color w:val="000000"/>
                <w:sz w:val="22"/>
                <w:lang w:val="en-US" w:eastAsia="el-GR"/>
              </w:rPr>
              <w:t>Grand'Italia</w:t>
            </w:r>
            <w:proofErr w:type="spellEnd"/>
            <w:r w:rsidRPr="000555DC">
              <w:rPr>
                <w:rFonts w:asciiTheme="minorHAnsi" w:eastAsia="Times New Roman" w:hAnsiTheme="minorHAnsi"/>
                <w:color w:val="000000"/>
                <w:sz w:val="22"/>
                <w:lang w:val="en-US" w:eastAsia="el-GR"/>
              </w:rPr>
              <w:t xml:space="preserve"> Olio di </w:t>
            </w:r>
            <w:proofErr w:type="spellStart"/>
            <w:r w:rsidRPr="000555DC">
              <w:rPr>
                <w:rFonts w:asciiTheme="minorHAnsi" w:eastAsia="Times New Roman" w:hAnsiTheme="minorHAnsi"/>
                <w:color w:val="000000"/>
                <w:sz w:val="22"/>
                <w:lang w:val="en-US" w:eastAsia="el-GR"/>
              </w:rPr>
              <w:t>oliva</w:t>
            </w:r>
            <w:proofErr w:type="spellEnd"/>
            <w:r w:rsidRPr="000555DC">
              <w:rPr>
                <w:rFonts w:asciiTheme="minorHAnsi" w:eastAsia="Times New Roman" w:hAnsiTheme="minorHAnsi"/>
                <w:color w:val="000000"/>
                <w:sz w:val="22"/>
                <w:lang w:val="en-US" w:eastAsia="el-GR"/>
              </w:rPr>
              <w:t xml:space="preserve"> </w:t>
            </w:r>
            <w:proofErr w:type="spellStart"/>
            <w:r w:rsidRPr="000555DC">
              <w:rPr>
                <w:rFonts w:asciiTheme="minorHAnsi" w:eastAsia="Times New Roman" w:hAnsiTheme="minorHAnsi"/>
                <w:color w:val="000000"/>
                <w:sz w:val="22"/>
                <w:lang w:val="en-US" w:eastAsia="el-GR"/>
              </w:rPr>
              <w:t>classico</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500ml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3,39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Italy</w:t>
            </w:r>
            <w:proofErr w:type="spellEnd"/>
          </w:p>
        </w:tc>
      </w:tr>
      <w:tr w:rsidR="00546DB1" w:rsidRPr="000555DC" w:rsidTr="00D057D7">
        <w:trPr>
          <w:trHeight w:val="279"/>
        </w:trPr>
        <w:tc>
          <w:tcPr>
            <w:tcW w:w="1572"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665"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r>
      <w:tr w:rsidR="00546DB1" w:rsidRPr="000555DC" w:rsidTr="00D057D7">
        <w:trPr>
          <w:trHeight w:val="279"/>
        </w:trPr>
        <w:tc>
          <w:tcPr>
            <w:tcW w:w="1572" w:type="dxa"/>
            <w:shd w:val="clear" w:color="000000" w:fill="C2D69A"/>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Spar</w:t>
            </w:r>
            <w:proofErr w:type="spellEnd"/>
            <w:r w:rsidRPr="000555DC">
              <w:rPr>
                <w:rFonts w:asciiTheme="minorHAnsi" w:eastAsia="Times New Roman" w:hAnsiTheme="minorHAnsi"/>
                <w:color w:val="000000"/>
                <w:sz w:val="22"/>
                <w:lang w:eastAsia="el-GR"/>
              </w:rPr>
              <w:t xml:space="preserve">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Diamant</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olijfolie</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2L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7,50</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Italy</w:t>
            </w:r>
            <w:proofErr w:type="spellEnd"/>
          </w:p>
        </w:tc>
      </w:tr>
      <w:tr w:rsidR="00546DB1" w:rsidRPr="000555DC" w:rsidTr="00D057D7">
        <w:trPr>
          <w:trHeight w:val="279"/>
        </w:trPr>
        <w:tc>
          <w:tcPr>
            <w:tcW w:w="1572"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665"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r>
      <w:tr w:rsidR="00546DB1" w:rsidRPr="000555DC" w:rsidTr="00D057D7">
        <w:trPr>
          <w:trHeight w:val="279"/>
        </w:trPr>
        <w:tc>
          <w:tcPr>
            <w:tcW w:w="1572" w:type="dxa"/>
            <w:shd w:val="clear" w:color="000000" w:fill="953735"/>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xml:space="preserve">Dirk van de </w:t>
            </w:r>
            <w:proofErr w:type="spellStart"/>
            <w:r w:rsidRPr="000555DC">
              <w:rPr>
                <w:rFonts w:asciiTheme="minorHAnsi" w:eastAsia="Times New Roman" w:hAnsiTheme="minorHAnsi"/>
                <w:color w:val="000000"/>
                <w:sz w:val="22"/>
                <w:lang w:eastAsia="el-GR"/>
              </w:rPr>
              <w:t>Broek</w:t>
            </w:r>
            <w:proofErr w:type="spellEnd"/>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Carbonell</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Traditioneel</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750ml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5,39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Spain</w:t>
            </w:r>
            <w:proofErr w:type="spellEnd"/>
          </w:p>
        </w:tc>
      </w:tr>
      <w:tr w:rsidR="00546DB1" w:rsidRPr="000555DC" w:rsidTr="00D057D7">
        <w:trPr>
          <w:trHeight w:val="279"/>
        </w:trPr>
        <w:tc>
          <w:tcPr>
            <w:tcW w:w="1572" w:type="dxa"/>
            <w:shd w:val="clear" w:color="000000" w:fill="953735"/>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Carbonell</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Extra</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vergine</w:t>
            </w:r>
            <w:proofErr w:type="spellEnd"/>
            <w:r w:rsidRPr="000555DC">
              <w:rPr>
                <w:rFonts w:asciiTheme="minorHAnsi" w:eastAsia="Times New Roman" w:hAnsiTheme="minorHAnsi"/>
                <w:color w:val="000000"/>
                <w:sz w:val="22"/>
                <w:lang w:eastAsia="el-GR"/>
              </w:rPr>
              <w:t xml:space="preserve"> </w:t>
            </w:r>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750ml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5,29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Spain</w:t>
            </w:r>
            <w:proofErr w:type="spellEnd"/>
          </w:p>
        </w:tc>
      </w:tr>
      <w:tr w:rsidR="00546DB1" w:rsidRPr="000555DC" w:rsidTr="00D057D7">
        <w:trPr>
          <w:trHeight w:val="279"/>
        </w:trPr>
        <w:tc>
          <w:tcPr>
            <w:tcW w:w="1572" w:type="dxa"/>
            <w:shd w:val="clear" w:color="000000" w:fill="953735"/>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Olijfolie</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Bio</w:t>
            </w:r>
            <w:proofErr w:type="spellEnd"/>
            <w:r w:rsidRPr="000555DC">
              <w:rPr>
                <w:rFonts w:asciiTheme="minorHAnsi" w:eastAsia="Times New Roman" w:hAnsiTheme="minorHAnsi"/>
                <w:color w:val="000000"/>
                <w:sz w:val="22"/>
                <w:lang w:eastAsia="el-GR"/>
              </w:rPr>
              <w:t xml:space="preserve"> </w:t>
            </w:r>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500ml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3,89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Italy</w:t>
            </w:r>
            <w:proofErr w:type="spellEnd"/>
          </w:p>
        </w:tc>
      </w:tr>
      <w:tr w:rsidR="00546DB1" w:rsidRPr="000555DC" w:rsidTr="00D057D7">
        <w:trPr>
          <w:trHeight w:val="279"/>
        </w:trPr>
        <w:tc>
          <w:tcPr>
            <w:tcW w:w="1572" w:type="dxa"/>
            <w:shd w:val="clear" w:color="000000" w:fill="953735"/>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lastRenderedPageBreak/>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Olijfolie</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mild</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500ml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2,35</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r>
      <w:tr w:rsidR="00546DB1" w:rsidRPr="000555DC" w:rsidTr="00D057D7">
        <w:trPr>
          <w:trHeight w:val="279"/>
        </w:trPr>
        <w:tc>
          <w:tcPr>
            <w:tcW w:w="1572" w:type="dxa"/>
            <w:shd w:val="clear" w:color="000000" w:fill="953735"/>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Olijfolie</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extra</w:t>
            </w:r>
            <w:proofErr w:type="spellEnd"/>
            <w:r w:rsidRPr="000555DC">
              <w:rPr>
                <w:rFonts w:asciiTheme="minorHAnsi" w:eastAsia="Times New Roman" w:hAnsiTheme="minorHAnsi"/>
                <w:color w:val="000000"/>
                <w:sz w:val="22"/>
                <w:lang w:eastAsia="el-GR"/>
              </w:rPr>
              <w:t xml:space="preserve"> </w:t>
            </w:r>
            <w:proofErr w:type="spellStart"/>
            <w:r w:rsidR="003B1EB3" w:rsidRPr="000555DC">
              <w:rPr>
                <w:rFonts w:asciiTheme="minorHAnsi" w:eastAsia="Times New Roman" w:hAnsiTheme="minorHAnsi"/>
                <w:color w:val="000000"/>
                <w:sz w:val="22"/>
                <w:lang w:eastAsia="el-GR"/>
              </w:rPr>
              <w:t>vierge</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500ml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2,35</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r>
      <w:tr w:rsidR="00546DB1" w:rsidRPr="000555DC" w:rsidTr="00D057D7">
        <w:trPr>
          <w:trHeight w:val="279"/>
        </w:trPr>
        <w:tc>
          <w:tcPr>
            <w:tcW w:w="1572" w:type="dxa"/>
            <w:shd w:val="clear" w:color="000000" w:fill="953735"/>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Olijfolie</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traditioneel</w:t>
            </w:r>
            <w:proofErr w:type="spellEnd"/>
            <w:r w:rsidRPr="000555DC">
              <w:rPr>
                <w:rFonts w:asciiTheme="minorHAnsi" w:eastAsia="Times New Roman" w:hAnsiTheme="minorHAnsi"/>
                <w:color w:val="000000"/>
                <w:sz w:val="22"/>
                <w:lang w:eastAsia="el-GR"/>
              </w:rPr>
              <w:t xml:space="preserve"> </w:t>
            </w:r>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500ml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2,35</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r>
      <w:tr w:rsidR="00546DB1" w:rsidRPr="000555DC" w:rsidTr="00D057D7">
        <w:trPr>
          <w:trHeight w:val="279"/>
        </w:trPr>
        <w:tc>
          <w:tcPr>
            <w:tcW w:w="1572" w:type="dxa"/>
            <w:shd w:val="clear" w:color="000000" w:fill="953735"/>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Olijfolie</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mild</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250ml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1,49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r>
      <w:tr w:rsidR="00546DB1" w:rsidRPr="000555DC" w:rsidTr="00D057D7">
        <w:trPr>
          <w:trHeight w:val="279"/>
        </w:trPr>
        <w:tc>
          <w:tcPr>
            <w:tcW w:w="1572" w:type="dxa"/>
            <w:shd w:val="clear" w:color="000000" w:fill="953735"/>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Olijfolie</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extra</w:t>
            </w:r>
            <w:proofErr w:type="spellEnd"/>
            <w:r w:rsidRPr="000555DC">
              <w:rPr>
                <w:rFonts w:asciiTheme="minorHAnsi" w:eastAsia="Times New Roman" w:hAnsiTheme="minorHAnsi"/>
                <w:color w:val="000000"/>
                <w:sz w:val="22"/>
                <w:lang w:eastAsia="el-GR"/>
              </w:rPr>
              <w:t xml:space="preserve"> </w:t>
            </w:r>
            <w:proofErr w:type="spellStart"/>
            <w:r w:rsidR="003B1EB3" w:rsidRPr="000555DC">
              <w:rPr>
                <w:rFonts w:asciiTheme="minorHAnsi" w:eastAsia="Times New Roman" w:hAnsiTheme="minorHAnsi"/>
                <w:color w:val="000000"/>
                <w:sz w:val="22"/>
                <w:lang w:eastAsia="el-GR"/>
              </w:rPr>
              <w:t>vierge</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250ml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1,49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r>
      <w:tr w:rsidR="00546DB1" w:rsidRPr="000555DC" w:rsidTr="00D057D7">
        <w:trPr>
          <w:trHeight w:val="279"/>
        </w:trPr>
        <w:tc>
          <w:tcPr>
            <w:tcW w:w="1572" w:type="dxa"/>
            <w:shd w:val="clear" w:color="000000" w:fill="953735"/>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Olijfolie</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traditioneel</w:t>
            </w:r>
            <w:proofErr w:type="spellEnd"/>
            <w:r w:rsidRPr="000555DC">
              <w:rPr>
                <w:rFonts w:asciiTheme="minorHAnsi" w:eastAsia="Times New Roman" w:hAnsiTheme="minorHAnsi"/>
                <w:color w:val="000000"/>
                <w:sz w:val="22"/>
                <w:lang w:eastAsia="el-GR"/>
              </w:rPr>
              <w:t xml:space="preserve"> </w:t>
            </w:r>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250ml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1,49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r>
      <w:tr w:rsidR="00546DB1" w:rsidRPr="000555DC" w:rsidTr="00D057D7">
        <w:trPr>
          <w:trHeight w:val="279"/>
        </w:trPr>
        <w:tc>
          <w:tcPr>
            <w:tcW w:w="1572" w:type="dxa"/>
            <w:shd w:val="clear" w:color="000000" w:fill="953735"/>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Olio</w:t>
            </w:r>
            <w:proofErr w:type="spellEnd"/>
            <w:r w:rsidRPr="000555DC">
              <w:rPr>
                <w:rFonts w:asciiTheme="minorHAnsi" w:eastAsia="Times New Roman" w:hAnsiTheme="minorHAnsi"/>
                <w:color w:val="000000"/>
                <w:sz w:val="22"/>
                <w:lang w:eastAsia="el-GR"/>
              </w:rPr>
              <w:t xml:space="preserve"> </w:t>
            </w:r>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1L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2,99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Belgium</w:t>
            </w:r>
            <w:proofErr w:type="spellEnd"/>
          </w:p>
        </w:tc>
      </w:tr>
      <w:tr w:rsidR="00546DB1" w:rsidRPr="000555DC" w:rsidTr="00D057D7">
        <w:trPr>
          <w:trHeight w:val="279"/>
        </w:trPr>
        <w:tc>
          <w:tcPr>
            <w:tcW w:w="1572" w:type="dxa"/>
            <w:shd w:val="clear" w:color="000000" w:fill="953735"/>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Olio</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extra</w:t>
            </w:r>
            <w:proofErr w:type="spellEnd"/>
            <w:r w:rsidRPr="000555DC">
              <w:rPr>
                <w:rFonts w:asciiTheme="minorHAnsi" w:eastAsia="Times New Roman" w:hAnsiTheme="minorHAnsi"/>
                <w:color w:val="000000"/>
                <w:sz w:val="22"/>
                <w:lang w:eastAsia="el-GR"/>
              </w:rPr>
              <w:t xml:space="preserve"> </w:t>
            </w:r>
            <w:proofErr w:type="spellStart"/>
            <w:r w:rsidR="003B1EB3" w:rsidRPr="000555DC">
              <w:rPr>
                <w:rFonts w:asciiTheme="minorHAnsi" w:eastAsia="Times New Roman" w:hAnsiTheme="minorHAnsi"/>
                <w:color w:val="000000"/>
                <w:sz w:val="22"/>
                <w:lang w:eastAsia="el-GR"/>
              </w:rPr>
              <w:t>vierge</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1L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3,79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Belgium</w:t>
            </w:r>
            <w:proofErr w:type="spellEnd"/>
          </w:p>
        </w:tc>
      </w:tr>
      <w:tr w:rsidR="00546DB1" w:rsidRPr="000555DC" w:rsidTr="00D057D7">
        <w:trPr>
          <w:trHeight w:val="279"/>
        </w:trPr>
        <w:tc>
          <w:tcPr>
            <w:tcW w:w="1572" w:type="dxa"/>
            <w:shd w:val="clear" w:color="000000" w:fill="953735"/>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Bertolli</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Olijfolie</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classico</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750ml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4,49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Italy</w:t>
            </w:r>
            <w:proofErr w:type="spellEnd"/>
          </w:p>
        </w:tc>
      </w:tr>
      <w:tr w:rsidR="00546DB1" w:rsidRPr="000555DC" w:rsidTr="00D057D7">
        <w:trPr>
          <w:trHeight w:val="279"/>
        </w:trPr>
        <w:tc>
          <w:tcPr>
            <w:tcW w:w="1572" w:type="dxa"/>
            <w:shd w:val="clear" w:color="000000" w:fill="953735"/>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Bertolli</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Olijfolie</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extra</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vergine</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750ml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4,09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Italy</w:t>
            </w:r>
            <w:proofErr w:type="spellEnd"/>
          </w:p>
        </w:tc>
      </w:tr>
      <w:tr w:rsidR="00546DB1" w:rsidRPr="000555DC" w:rsidTr="00D057D7">
        <w:trPr>
          <w:trHeight w:val="279"/>
        </w:trPr>
        <w:tc>
          <w:tcPr>
            <w:tcW w:w="1572"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665"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r>
      <w:tr w:rsidR="00546DB1" w:rsidRPr="000555DC" w:rsidTr="00D057D7">
        <w:trPr>
          <w:trHeight w:val="279"/>
        </w:trPr>
        <w:tc>
          <w:tcPr>
            <w:tcW w:w="1572" w:type="dxa"/>
            <w:shd w:val="clear" w:color="000000" w:fill="31849B"/>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LIDL</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Primadonna</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extra</w:t>
            </w:r>
            <w:proofErr w:type="spellEnd"/>
            <w:r w:rsidRPr="000555DC">
              <w:rPr>
                <w:rFonts w:asciiTheme="minorHAnsi" w:eastAsia="Times New Roman" w:hAnsiTheme="minorHAnsi"/>
                <w:color w:val="000000"/>
                <w:sz w:val="22"/>
                <w:lang w:eastAsia="el-GR"/>
              </w:rPr>
              <w:t xml:space="preserve"> </w:t>
            </w:r>
            <w:proofErr w:type="spellStart"/>
            <w:r w:rsidR="003B1EB3" w:rsidRPr="000555DC">
              <w:rPr>
                <w:rFonts w:asciiTheme="minorHAnsi" w:eastAsia="Times New Roman" w:hAnsiTheme="minorHAnsi"/>
                <w:color w:val="000000"/>
                <w:sz w:val="22"/>
                <w:lang w:eastAsia="el-GR"/>
              </w:rPr>
              <w:t>vierge</w:t>
            </w:r>
            <w:proofErr w:type="spellEnd"/>
            <w:r w:rsidRPr="000555DC">
              <w:rPr>
                <w:rFonts w:asciiTheme="minorHAnsi" w:eastAsia="Times New Roman" w:hAnsiTheme="minorHAnsi"/>
                <w:color w:val="000000"/>
                <w:sz w:val="22"/>
                <w:lang w:eastAsia="el-GR"/>
              </w:rPr>
              <w:t xml:space="preserve"> </w:t>
            </w:r>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1L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4,20</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Italy</w:t>
            </w:r>
            <w:proofErr w:type="spellEnd"/>
          </w:p>
        </w:tc>
      </w:tr>
      <w:tr w:rsidR="00546DB1" w:rsidRPr="000555DC" w:rsidTr="00D057D7">
        <w:trPr>
          <w:trHeight w:val="279"/>
        </w:trPr>
        <w:tc>
          <w:tcPr>
            <w:tcW w:w="1572" w:type="dxa"/>
            <w:shd w:val="clear" w:color="000000" w:fill="31849B"/>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Primadonna</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extra</w:t>
            </w:r>
            <w:proofErr w:type="spellEnd"/>
            <w:r w:rsidRPr="000555DC">
              <w:rPr>
                <w:rFonts w:asciiTheme="minorHAnsi" w:eastAsia="Times New Roman" w:hAnsiTheme="minorHAnsi"/>
                <w:color w:val="000000"/>
                <w:sz w:val="22"/>
                <w:lang w:eastAsia="el-GR"/>
              </w:rPr>
              <w:t xml:space="preserve"> </w:t>
            </w:r>
            <w:proofErr w:type="spellStart"/>
            <w:r w:rsidR="003B1EB3" w:rsidRPr="000555DC">
              <w:rPr>
                <w:rFonts w:asciiTheme="minorHAnsi" w:eastAsia="Times New Roman" w:hAnsiTheme="minorHAnsi"/>
                <w:color w:val="000000"/>
                <w:sz w:val="22"/>
                <w:lang w:eastAsia="el-GR"/>
              </w:rPr>
              <w:t>vierge</w:t>
            </w:r>
            <w:proofErr w:type="spellEnd"/>
            <w:r w:rsidRPr="000555DC">
              <w:rPr>
                <w:rFonts w:asciiTheme="minorHAnsi" w:eastAsia="Times New Roman" w:hAnsiTheme="minorHAnsi"/>
                <w:color w:val="000000"/>
                <w:sz w:val="22"/>
                <w:lang w:eastAsia="el-GR"/>
              </w:rPr>
              <w:t xml:space="preserve"> </w:t>
            </w:r>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750ml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3,15</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Italy</w:t>
            </w:r>
            <w:proofErr w:type="spellEnd"/>
          </w:p>
        </w:tc>
      </w:tr>
      <w:tr w:rsidR="00546DB1" w:rsidRPr="000555DC" w:rsidTr="00D057D7">
        <w:trPr>
          <w:trHeight w:val="279"/>
        </w:trPr>
        <w:tc>
          <w:tcPr>
            <w:tcW w:w="1572" w:type="dxa"/>
            <w:shd w:val="clear" w:color="000000" w:fill="31849B"/>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Luccese</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Italiaanse</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extra</w:t>
            </w:r>
            <w:proofErr w:type="spellEnd"/>
            <w:r w:rsidRPr="000555DC">
              <w:rPr>
                <w:rFonts w:asciiTheme="minorHAnsi" w:eastAsia="Times New Roman" w:hAnsiTheme="minorHAnsi"/>
                <w:color w:val="000000"/>
                <w:sz w:val="22"/>
                <w:lang w:eastAsia="el-GR"/>
              </w:rPr>
              <w:t xml:space="preserve"> </w:t>
            </w:r>
            <w:proofErr w:type="spellStart"/>
            <w:r w:rsidR="003B1EB3" w:rsidRPr="000555DC">
              <w:rPr>
                <w:rFonts w:asciiTheme="minorHAnsi" w:eastAsia="Times New Roman" w:hAnsiTheme="minorHAnsi"/>
                <w:color w:val="000000"/>
                <w:sz w:val="22"/>
                <w:lang w:eastAsia="el-GR"/>
              </w:rPr>
              <w:t>vierge</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1L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5,98</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Italy</w:t>
            </w:r>
            <w:proofErr w:type="spellEnd"/>
          </w:p>
        </w:tc>
      </w:tr>
      <w:tr w:rsidR="00546DB1" w:rsidRPr="000555DC" w:rsidTr="00D057D7">
        <w:trPr>
          <w:trHeight w:val="279"/>
        </w:trPr>
        <w:tc>
          <w:tcPr>
            <w:tcW w:w="1572" w:type="dxa"/>
            <w:shd w:val="clear" w:color="000000" w:fill="31849B"/>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Luccese</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Italiaanse</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extra</w:t>
            </w:r>
            <w:proofErr w:type="spellEnd"/>
            <w:r w:rsidRPr="000555DC">
              <w:rPr>
                <w:rFonts w:asciiTheme="minorHAnsi" w:eastAsia="Times New Roman" w:hAnsiTheme="minorHAnsi"/>
                <w:color w:val="000000"/>
                <w:sz w:val="22"/>
                <w:lang w:eastAsia="el-GR"/>
              </w:rPr>
              <w:t xml:space="preserve"> </w:t>
            </w:r>
            <w:proofErr w:type="spellStart"/>
            <w:r w:rsidR="003B1EB3" w:rsidRPr="000555DC">
              <w:rPr>
                <w:rFonts w:asciiTheme="minorHAnsi" w:eastAsia="Times New Roman" w:hAnsiTheme="minorHAnsi"/>
                <w:color w:val="000000"/>
                <w:sz w:val="22"/>
                <w:lang w:eastAsia="el-GR"/>
              </w:rPr>
              <w:t>vierge</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500ml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2,99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Italy</w:t>
            </w:r>
            <w:proofErr w:type="spellEnd"/>
          </w:p>
        </w:tc>
      </w:tr>
      <w:tr w:rsidR="00546DB1" w:rsidRPr="000555DC" w:rsidTr="00D057D7">
        <w:trPr>
          <w:trHeight w:val="279"/>
        </w:trPr>
        <w:tc>
          <w:tcPr>
            <w:tcW w:w="1572" w:type="dxa"/>
            <w:shd w:val="clear" w:color="000000" w:fill="31849B"/>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Vita</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d'or</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olijfolie</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1L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3,20</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r>
      <w:tr w:rsidR="00546DB1" w:rsidRPr="000555DC" w:rsidTr="00D057D7">
        <w:trPr>
          <w:trHeight w:val="279"/>
        </w:trPr>
        <w:tc>
          <w:tcPr>
            <w:tcW w:w="1572" w:type="dxa"/>
            <w:shd w:val="clear" w:color="000000" w:fill="31849B"/>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Vita</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d'or</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olijfolie</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453ml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1,39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r>
      <w:tr w:rsidR="00546DB1" w:rsidRPr="000555DC" w:rsidTr="00D057D7">
        <w:trPr>
          <w:trHeight w:val="279"/>
        </w:trPr>
        <w:tc>
          <w:tcPr>
            <w:tcW w:w="1572"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665"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r>
      <w:tr w:rsidR="00546DB1" w:rsidRPr="000555DC" w:rsidTr="00D057D7">
        <w:trPr>
          <w:trHeight w:val="279"/>
        </w:trPr>
        <w:tc>
          <w:tcPr>
            <w:tcW w:w="1572" w:type="dxa"/>
            <w:shd w:val="clear" w:color="000000" w:fill="FFFF00"/>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Voomar</w:t>
            </w:r>
            <w:proofErr w:type="spellEnd"/>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val="nl-NL" w:eastAsia="el-GR"/>
              </w:rPr>
            </w:pPr>
            <w:r w:rsidRPr="000555DC">
              <w:rPr>
                <w:rFonts w:asciiTheme="minorHAnsi" w:eastAsia="Times New Roman" w:hAnsiTheme="minorHAnsi"/>
                <w:color w:val="000000"/>
                <w:sz w:val="22"/>
                <w:lang w:val="nl-NL" w:eastAsia="el-GR"/>
              </w:rPr>
              <w:t xml:space="preserve">Voomar Olijfolie Markant extra </w:t>
            </w:r>
            <w:r w:rsidR="003B1EB3" w:rsidRPr="000555DC">
              <w:rPr>
                <w:rFonts w:asciiTheme="minorHAnsi" w:eastAsia="Times New Roman" w:hAnsiTheme="minorHAnsi"/>
                <w:color w:val="000000"/>
                <w:sz w:val="22"/>
                <w:lang w:val="nl-NL" w:eastAsia="el-GR"/>
              </w:rPr>
              <w:t>vierge</w:t>
            </w:r>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500ml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2,49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r>
      <w:tr w:rsidR="00546DB1" w:rsidRPr="000555DC" w:rsidTr="00D057D7">
        <w:trPr>
          <w:trHeight w:val="279"/>
        </w:trPr>
        <w:tc>
          <w:tcPr>
            <w:tcW w:w="1572" w:type="dxa"/>
            <w:shd w:val="clear" w:color="000000" w:fill="FFFF00"/>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Voomar</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Olijfolie</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Markant</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traditioneel</w:t>
            </w:r>
            <w:proofErr w:type="spellEnd"/>
            <w:r w:rsidRPr="000555DC">
              <w:rPr>
                <w:rFonts w:asciiTheme="minorHAnsi" w:eastAsia="Times New Roman" w:hAnsiTheme="minorHAnsi"/>
                <w:color w:val="000000"/>
                <w:sz w:val="22"/>
                <w:lang w:eastAsia="el-GR"/>
              </w:rPr>
              <w:t xml:space="preserve"> </w:t>
            </w:r>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500ml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2,39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r>
      <w:tr w:rsidR="00546DB1" w:rsidRPr="000555DC" w:rsidTr="00D057D7">
        <w:trPr>
          <w:trHeight w:val="279"/>
        </w:trPr>
        <w:tc>
          <w:tcPr>
            <w:tcW w:w="1572" w:type="dxa"/>
            <w:shd w:val="clear" w:color="000000" w:fill="FFFF00"/>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Voomar</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Olijfolie</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Markant</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mild</w:t>
            </w:r>
            <w:proofErr w:type="spellEnd"/>
            <w:r w:rsidRPr="000555DC">
              <w:rPr>
                <w:rFonts w:asciiTheme="minorHAnsi" w:eastAsia="Times New Roman" w:hAnsiTheme="minorHAnsi"/>
                <w:color w:val="000000"/>
                <w:sz w:val="22"/>
                <w:lang w:eastAsia="el-GR"/>
              </w:rPr>
              <w:t xml:space="preserve"> </w:t>
            </w:r>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500ml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2,39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r>
      <w:tr w:rsidR="00546DB1" w:rsidRPr="000555DC" w:rsidTr="00D057D7">
        <w:trPr>
          <w:trHeight w:val="279"/>
        </w:trPr>
        <w:tc>
          <w:tcPr>
            <w:tcW w:w="1572" w:type="dxa"/>
            <w:shd w:val="clear" w:color="000000" w:fill="FFFF00"/>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Voomar</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Olijfolie</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Markant</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fruitige</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1L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3,49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Greece</w:t>
            </w:r>
          </w:p>
        </w:tc>
      </w:tr>
      <w:tr w:rsidR="00546DB1" w:rsidRPr="000555DC" w:rsidTr="00D057D7">
        <w:trPr>
          <w:trHeight w:val="279"/>
        </w:trPr>
        <w:tc>
          <w:tcPr>
            <w:tcW w:w="1572" w:type="dxa"/>
            <w:shd w:val="clear" w:color="000000" w:fill="FFFF00"/>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Voomar</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Olijfolie</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Markant</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pittige</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1L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3,49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Greece</w:t>
            </w:r>
          </w:p>
        </w:tc>
      </w:tr>
      <w:tr w:rsidR="00546DB1" w:rsidRPr="000555DC" w:rsidTr="00D057D7">
        <w:trPr>
          <w:trHeight w:val="279"/>
        </w:trPr>
        <w:tc>
          <w:tcPr>
            <w:tcW w:w="1572" w:type="dxa"/>
            <w:shd w:val="clear" w:color="000000" w:fill="FFFF00"/>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Carbonell</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extra</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virgen</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750ml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5,29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Spain</w:t>
            </w:r>
            <w:proofErr w:type="spellEnd"/>
          </w:p>
        </w:tc>
      </w:tr>
      <w:tr w:rsidR="00546DB1" w:rsidRPr="000555DC" w:rsidTr="00D057D7">
        <w:trPr>
          <w:trHeight w:val="279"/>
        </w:trPr>
        <w:tc>
          <w:tcPr>
            <w:tcW w:w="1572" w:type="dxa"/>
            <w:shd w:val="clear" w:color="000000" w:fill="FFFF00"/>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Carbonell</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traditioneel</w:t>
            </w:r>
            <w:proofErr w:type="spellEnd"/>
            <w:r w:rsidRPr="000555DC">
              <w:rPr>
                <w:rFonts w:asciiTheme="minorHAnsi" w:eastAsia="Times New Roman" w:hAnsiTheme="minorHAnsi"/>
                <w:color w:val="000000"/>
                <w:sz w:val="22"/>
                <w:lang w:eastAsia="el-GR"/>
              </w:rPr>
              <w:t xml:space="preserve"> </w:t>
            </w:r>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750ml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5,39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Spain</w:t>
            </w:r>
            <w:proofErr w:type="spellEnd"/>
          </w:p>
        </w:tc>
      </w:tr>
      <w:tr w:rsidR="00546DB1" w:rsidRPr="000555DC" w:rsidTr="00D057D7">
        <w:trPr>
          <w:trHeight w:val="279"/>
        </w:trPr>
        <w:tc>
          <w:tcPr>
            <w:tcW w:w="1572" w:type="dxa"/>
            <w:shd w:val="clear" w:color="000000" w:fill="FFFF00"/>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Carbonell</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extra</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virgen</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500ml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3,39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Spain</w:t>
            </w:r>
            <w:proofErr w:type="spellEnd"/>
          </w:p>
        </w:tc>
      </w:tr>
      <w:tr w:rsidR="00546DB1" w:rsidRPr="000555DC" w:rsidTr="00D057D7">
        <w:trPr>
          <w:trHeight w:val="279"/>
        </w:trPr>
        <w:tc>
          <w:tcPr>
            <w:tcW w:w="1572" w:type="dxa"/>
            <w:shd w:val="clear" w:color="000000" w:fill="FFFF00"/>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Carbonell</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traditioneel</w:t>
            </w:r>
            <w:proofErr w:type="spellEnd"/>
            <w:r w:rsidRPr="000555DC">
              <w:rPr>
                <w:rFonts w:asciiTheme="minorHAnsi" w:eastAsia="Times New Roman" w:hAnsiTheme="minorHAnsi"/>
                <w:color w:val="000000"/>
                <w:sz w:val="22"/>
                <w:lang w:eastAsia="el-GR"/>
              </w:rPr>
              <w:t xml:space="preserve"> </w:t>
            </w:r>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500ml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3,35</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Spain</w:t>
            </w:r>
            <w:proofErr w:type="spellEnd"/>
          </w:p>
        </w:tc>
      </w:tr>
      <w:tr w:rsidR="00546DB1" w:rsidRPr="000555DC" w:rsidTr="00D057D7">
        <w:trPr>
          <w:trHeight w:val="279"/>
        </w:trPr>
        <w:tc>
          <w:tcPr>
            <w:tcW w:w="1572" w:type="dxa"/>
            <w:shd w:val="clear" w:color="000000" w:fill="FFFF00"/>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Carbonell</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mild</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500ml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3,49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Spain</w:t>
            </w:r>
            <w:proofErr w:type="spellEnd"/>
          </w:p>
        </w:tc>
      </w:tr>
      <w:tr w:rsidR="00546DB1" w:rsidRPr="000555DC" w:rsidTr="00D057D7">
        <w:trPr>
          <w:trHeight w:val="279"/>
        </w:trPr>
        <w:tc>
          <w:tcPr>
            <w:tcW w:w="1572" w:type="dxa"/>
            <w:shd w:val="clear" w:color="000000" w:fill="FFFF00"/>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Bertolli</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classico</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olijfolie</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750ml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4,49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Italy</w:t>
            </w:r>
            <w:proofErr w:type="spellEnd"/>
          </w:p>
        </w:tc>
      </w:tr>
      <w:tr w:rsidR="00546DB1" w:rsidRPr="000555DC" w:rsidTr="00D057D7">
        <w:trPr>
          <w:trHeight w:val="279"/>
        </w:trPr>
        <w:tc>
          <w:tcPr>
            <w:tcW w:w="1572" w:type="dxa"/>
            <w:shd w:val="clear" w:color="000000" w:fill="FFFF00"/>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Bertolli</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extra</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vergine</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750ml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4,49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Italy</w:t>
            </w:r>
            <w:proofErr w:type="spellEnd"/>
          </w:p>
        </w:tc>
      </w:tr>
      <w:tr w:rsidR="00546DB1" w:rsidRPr="000555DC" w:rsidTr="00D057D7">
        <w:trPr>
          <w:trHeight w:val="279"/>
        </w:trPr>
        <w:tc>
          <w:tcPr>
            <w:tcW w:w="1572" w:type="dxa"/>
            <w:shd w:val="clear" w:color="000000" w:fill="FFFF00"/>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val="nl-NL" w:eastAsia="el-GR"/>
              </w:rPr>
            </w:pPr>
            <w:r w:rsidRPr="000555DC">
              <w:rPr>
                <w:rFonts w:asciiTheme="minorHAnsi" w:eastAsia="Times New Roman" w:hAnsiTheme="minorHAnsi"/>
                <w:color w:val="000000"/>
                <w:sz w:val="22"/>
                <w:lang w:val="nl-NL" w:eastAsia="el-GR"/>
              </w:rPr>
              <w:t>Bertolli bio olijfolie extra vergine</w:t>
            </w:r>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500ml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5,29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Italy</w:t>
            </w:r>
            <w:proofErr w:type="spellEnd"/>
          </w:p>
        </w:tc>
      </w:tr>
      <w:tr w:rsidR="00546DB1" w:rsidRPr="000555DC" w:rsidTr="00D057D7">
        <w:trPr>
          <w:trHeight w:val="279"/>
        </w:trPr>
        <w:tc>
          <w:tcPr>
            <w:tcW w:w="1572" w:type="dxa"/>
            <w:shd w:val="clear" w:color="000000" w:fill="FFFF00"/>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Olio</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olijfolie</w:t>
            </w:r>
            <w:proofErr w:type="spellEnd"/>
            <w:r w:rsidRPr="000555DC">
              <w:rPr>
                <w:rFonts w:asciiTheme="minorHAnsi" w:eastAsia="Times New Roman" w:hAnsiTheme="minorHAnsi"/>
                <w:color w:val="000000"/>
                <w:sz w:val="22"/>
                <w:lang w:eastAsia="el-GR"/>
              </w:rPr>
              <w:t xml:space="preserve"> EV</w:t>
            </w:r>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1L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3,69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Portugal</w:t>
            </w:r>
            <w:proofErr w:type="spellEnd"/>
          </w:p>
        </w:tc>
      </w:tr>
      <w:tr w:rsidR="00546DB1" w:rsidRPr="000555DC" w:rsidTr="00D057D7">
        <w:trPr>
          <w:trHeight w:val="279"/>
        </w:trPr>
        <w:tc>
          <w:tcPr>
            <w:tcW w:w="1572" w:type="dxa"/>
            <w:shd w:val="clear" w:color="000000" w:fill="FFFF00"/>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Primoljio</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extra</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vergin</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olijfolie</w:t>
            </w:r>
            <w:proofErr w:type="spellEnd"/>
            <w:r w:rsidRPr="000555DC">
              <w:rPr>
                <w:rFonts w:asciiTheme="minorHAnsi" w:eastAsia="Times New Roman" w:hAnsiTheme="minorHAnsi"/>
                <w:color w:val="000000"/>
                <w:sz w:val="22"/>
                <w:lang w:eastAsia="el-GR"/>
              </w:rPr>
              <w:t xml:space="preserve"> </w:t>
            </w:r>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250ml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4,79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r>
      <w:tr w:rsidR="00546DB1" w:rsidRPr="000555DC" w:rsidTr="00D057D7">
        <w:trPr>
          <w:trHeight w:val="279"/>
        </w:trPr>
        <w:tc>
          <w:tcPr>
            <w:tcW w:w="1572"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665"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r>
      <w:tr w:rsidR="00546DB1" w:rsidRPr="000555DC" w:rsidTr="00D057D7">
        <w:trPr>
          <w:trHeight w:val="279"/>
        </w:trPr>
        <w:tc>
          <w:tcPr>
            <w:tcW w:w="1572" w:type="dxa"/>
            <w:shd w:val="clear" w:color="000000" w:fill="FFCC00"/>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Jumbo</w:t>
            </w:r>
            <w:proofErr w:type="spellEnd"/>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Jumbo</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olijfolie</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mild</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1L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4,59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20%korting</w:t>
            </w:r>
          </w:p>
        </w:tc>
      </w:tr>
      <w:tr w:rsidR="00546DB1" w:rsidRPr="000555DC" w:rsidTr="00D057D7">
        <w:trPr>
          <w:trHeight w:val="279"/>
        </w:trPr>
        <w:tc>
          <w:tcPr>
            <w:tcW w:w="1572" w:type="dxa"/>
            <w:shd w:val="clear" w:color="000000" w:fill="FFCC00"/>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Jumbo</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olijfolie</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extra</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vierge</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1L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4,49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20%korting</w:t>
            </w:r>
          </w:p>
        </w:tc>
      </w:tr>
      <w:tr w:rsidR="00546DB1" w:rsidRPr="000555DC" w:rsidTr="00D057D7">
        <w:trPr>
          <w:trHeight w:val="279"/>
        </w:trPr>
        <w:tc>
          <w:tcPr>
            <w:tcW w:w="1572" w:type="dxa"/>
            <w:shd w:val="clear" w:color="000000" w:fill="FFCC00"/>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Jumbo</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olijfolie</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classico</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1L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4,59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20%korting</w:t>
            </w:r>
          </w:p>
        </w:tc>
      </w:tr>
      <w:tr w:rsidR="00546DB1" w:rsidRPr="000555DC" w:rsidTr="00D057D7">
        <w:trPr>
          <w:trHeight w:val="279"/>
        </w:trPr>
        <w:tc>
          <w:tcPr>
            <w:tcW w:w="1572" w:type="dxa"/>
            <w:shd w:val="clear" w:color="000000" w:fill="FFCC00"/>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Jumbo</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olijfolie</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classico</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500ml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2,35</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Spain</w:t>
            </w:r>
            <w:proofErr w:type="spellEnd"/>
          </w:p>
        </w:tc>
      </w:tr>
      <w:tr w:rsidR="00546DB1" w:rsidRPr="000555DC" w:rsidTr="00D057D7">
        <w:trPr>
          <w:trHeight w:val="279"/>
        </w:trPr>
        <w:tc>
          <w:tcPr>
            <w:tcW w:w="1572" w:type="dxa"/>
            <w:shd w:val="clear" w:color="000000" w:fill="FFCC00"/>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Jumbo</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olijfolie</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extra</w:t>
            </w:r>
            <w:proofErr w:type="spellEnd"/>
            <w:r w:rsidRPr="000555DC">
              <w:rPr>
                <w:rFonts w:asciiTheme="minorHAnsi" w:eastAsia="Times New Roman" w:hAnsiTheme="minorHAnsi"/>
                <w:color w:val="000000"/>
                <w:sz w:val="22"/>
                <w:lang w:eastAsia="el-GR"/>
              </w:rPr>
              <w:t xml:space="preserve"> </w:t>
            </w:r>
            <w:proofErr w:type="spellStart"/>
            <w:r w:rsidR="003B1EB3" w:rsidRPr="000555DC">
              <w:rPr>
                <w:rFonts w:asciiTheme="minorHAnsi" w:eastAsia="Times New Roman" w:hAnsiTheme="minorHAnsi"/>
                <w:color w:val="000000"/>
                <w:sz w:val="22"/>
                <w:lang w:eastAsia="el-GR"/>
              </w:rPr>
              <w:t>vierge</w:t>
            </w:r>
            <w:proofErr w:type="spellEnd"/>
            <w:r w:rsidRPr="000555DC">
              <w:rPr>
                <w:rFonts w:asciiTheme="minorHAnsi" w:eastAsia="Times New Roman" w:hAnsiTheme="minorHAnsi"/>
                <w:color w:val="000000"/>
                <w:sz w:val="22"/>
                <w:lang w:eastAsia="el-GR"/>
              </w:rPr>
              <w:t xml:space="preserve"> </w:t>
            </w:r>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500ml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2,35</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Spain</w:t>
            </w:r>
            <w:proofErr w:type="spellEnd"/>
          </w:p>
        </w:tc>
      </w:tr>
      <w:tr w:rsidR="00546DB1" w:rsidRPr="000555DC" w:rsidTr="00D057D7">
        <w:trPr>
          <w:trHeight w:val="279"/>
        </w:trPr>
        <w:tc>
          <w:tcPr>
            <w:tcW w:w="1572" w:type="dxa"/>
            <w:shd w:val="clear" w:color="000000" w:fill="FFCC00"/>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Carbonell</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extra</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vergen</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1L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5,29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Spain</w:t>
            </w:r>
            <w:proofErr w:type="spellEnd"/>
          </w:p>
        </w:tc>
      </w:tr>
      <w:tr w:rsidR="00546DB1" w:rsidRPr="000555DC" w:rsidTr="00D057D7">
        <w:trPr>
          <w:trHeight w:val="279"/>
        </w:trPr>
        <w:tc>
          <w:tcPr>
            <w:tcW w:w="1572" w:type="dxa"/>
            <w:shd w:val="clear" w:color="000000" w:fill="FFCC00"/>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Carbonell</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traditioneel</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1L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5,29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Spain</w:t>
            </w:r>
            <w:proofErr w:type="spellEnd"/>
          </w:p>
        </w:tc>
      </w:tr>
      <w:tr w:rsidR="00546DB1" w:rsidRPr="000555DC" w:rsidTr="00D057D7">
        <w:trPr>
          <w:trHeight w:val="279"/>
        </w:trPr>
        <w:tc>
          <w:tcPr>
            <w:tcW w:w="1572" w:type="dxa"/>
            <w:shd w:val="clear" w:color="000000" w:fill="FFCC00"/>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Carbonell</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mild</w:t>
            </w:r>
            <w:proofErr w:type="spellEnd"/>
            <w:r w:rsidRPr="000555DC">
              <w:rPr>
                <w:rFonts w:asciiTheme="minorHAnsi" w:eastAsia="Times New Roman" w:hAnsiTheme="minorHAnsi"/>
                <w:color w:val="000000"/>
                <w:sz w:val="22"/>
                <w:lang w:eastAsia="el-GR"/>
              </w:rPr>
              <w:t xml:space="preserve"> </w:t>
            </w:r>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750ml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3,49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Spain</w:t>
            </w:r>
            <w:proofErr w:type="spellEnd"/>
          </w:p>
        </w:tc>
      </w:tr>
      <w:tr w:rsidR="00546DB1" w:rsidRPr="000555DC" w:rsidTr="00D057D7">
        <w:trPr>
          <w:trHeight w:val="279"/>
        </w:trPr>
        <w:tc>
          <w:tcPr>
            <w:tcW w:w="1572" w:type="dxa"/>
            <w:shd w:val="clear" w:color="000000" w:fill="FFCC00"/>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Carbonell</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extra</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vergen</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750ml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3,35</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Spain</w:t>
            </w:r>
            <w:proofErr w:type="spellEnd"/>
          </w:p>
        </w:tc>
      </w:tr>
      <w:tr w:rsidR="00546DB1" w:rsidRPr="000555DC" w:rsidTr="00D057D7">
        <w:trPr>
          <w:trHeight w:val="279"/>
        </w:trPr>
        <w:tc>
          <w:tcPr>
            <w:tcW w:w="1572" w:type="dxa"/>
            <w:shd w:val="clear" w:color="000000" w:fill="FFCC00"/>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Carbonell</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traditioneel</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750ml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3,35</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Spain</w:t>
            </w:r>
            <w:proofErr w:type="spellEnd"/>
          </w:p>
        </w:tc>
      </w:tr>
      <w:tr w:rsidR="00546DB1" w:rsidRPr="000555DC" w:rsidTr="00D057D7">
        <w:trPr>
          <w:trHeight w:val="279"/>
        </w:trPr>
        <w:tc>
          <w:tcPr>
            <w:tcW w:w="1572" w:type="dxa"/>
            <w:shd w:val="clear" w:color="000000" w:fill="FFCC00"/>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Carbonell</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extra</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vergen</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500ml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2,29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Spain</w:t>
            </w:r>
            <w:proofErr w:type="spellEnd"/>
          </w:p>
        </w:tc>
      </w:tr>
      <w:tr w:rsidR="00546DB1" w:rsidRPr="000555DC" w:rsidTr="00D057D7">
        <w:trPr>
          <w:trHeight w:val="279"/>
        </w:trPr>
        <w:tc>
          <w:tcPr>
            <w:tcW w:w="1572" w:type="dxa"/>
            <w:shd w:val="clear" w:color="000000" w:fill="FFCC00"/>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Carbonell</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traditioneel</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500ml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2,19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Spain</w:t>
            </w:r>
            <w:proofErr w:type="spellEnd"/>
          </w:p>
        </w:tc>
      </w:tr>
      <w:tr w:rsidR="00546DB1" w:rsidRPr="000555DC" w:rsidTr="00D057D7">
        <w:trPr>
          <w:trHeight w:val="279"/>
        </w:trPr>
        <w:tc>
          <w:tcPr>
            <w:tcW w:w="1572" w:type="dxa"/>
            <w:shd w:val="clear" w:color="000000" w:fill="FFCC00"/>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Bertolli</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extra</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vergine</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gentile</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750ml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4,49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Italy</w:t>
            </w:r>
            <w:proofErr w:type="spellEnd"/>
          </w:p>
        </w:tc>
      </w:tr>
      <w:tr w:rsidR="00546DB1" w:rsidRPr="000555DC" w:rsidTr="00D057D7">
        <w:trPr>
          <w:trHeight w:val="279"/>
        </w:trPr>
        <w:tc>
          <w:tcPr>
            <w:tcW w:w="1572" w:type="dxa"/>
            <w:shd w:val="clear" w:color="000000" w:fill="FFCC00"/>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Bertolli</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extra</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vergine</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robusle</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750ml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4,99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Italy</w:t>
            </w:r>
            <w:proofErr w:type="spellEnd"/>
          </w:p>
        </w:tc>
      </w:tr>
      <w:tr w:rsidR="00546DB1" w:rsidRPr="000555DC" w:rsidTr="00D057D7">
        <w:trPr>
          <w:trHeight w:val="279"/>
        </w:trPr>
        <w:tc>
          <w:tcPr>
            <w:tcW w:w="1572" w:type="dxa"/>
            <w:shd w:val="clear" w:color="000000" w:fill="FFCC00"/>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Bertolli</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extra</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vergine</w:t>
            </w:r>
            <w:proofErr w:type="spellEnd"/>
            <w:r w:rsidRPr="000555DC">
              <w:rPr>
                <w:rFonts w:asciiTheme="minorHAnsi" w:eastAsia="Times New Roman" w:hAnsiTheme="minorHAnsi"/>
                <w:color w:val="000000"/>
                <w:sz w:val="22"/>
                <w:lang w:eastAsia="el-GR"/>
              </w:rPr>
              <w:t xml:space="preserve"> BIO</w:t>
            </w:r>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750ml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5,29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Italy</w:t>
            </w:r>
            <w:proofErr w:type="spellEnd"/>
          </w:p>
        </w:tc>
      </w:tr>
      <w:tr w:rsidR="00546DB1" w:rsidRPr="000555DC" w:rsidTr="00D057D7">
        <w:trPr>
          <w:trHeight w:val="279"/>
        </w:trPr>
        <w:tc>
          <w:tcPr>
            <w:tcW w:w="1572" w:type="dxa"/>
            <w:shd w:val="clear" w:color="000000" w:fill="FFCC00"/>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lastRenderedPageBreak/>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Bertolli</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extra</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vergine</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originale</w:t>
            </w:r>
            <w:proofErr w:type="spellEnd"/>
            <w:r w:rsidRPr="000555DC">
              <w:rPr>
                <w:rFonts w:asciiTheme="minorHAnsi" w:eastAsia="Times New Roman" w:hAnsiTheme="minorHAnsi"/>
                <w:color w:val="000000"/>
                <w:sz w:val="22"/>
                <w:lang w:eastAsia="el-GR"/>
              </w:rPr>
              <w:t xml:space="preserve"> </w:t>
            </w:r>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500ml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3,19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Italy</w:t>
            </w:r>
            <w:proofErr w:type="spellEnd"/>
          </w:p>
        </w:tc>
      </w:tr>
      <w:tr w:rsidR="00546DB1" w:rsidRPr="000555DC" w:rsidTr="00D057D7">
        <w:trPr>
          <w:trHeight w:val="279"/>
        </w:trPr>
        <w:tc>
          <w:tcPr>
            <w:tcW w:w="1572" w:type="dxa"/>
            <w:shd w:val="clear" w:color="000000" w:fill="FFCC00"/>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Bertolli</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olio</w:t>
            </w:r>
            <w:proofErr w:type="spellEnd"/>
            <w:r w:rsidRPr="000555DC">
              <w:rPr>
                <w:rFonts w:asciiTheme="minorHAnsi" w:eastAsia="Times New Roman" w:hAnsiTheme="minorHAnsi"/>
                <w:color w:val="000000"/>
                <w:sz w:val="22"/>
                <w:lang w:eastAsia="el-GR"/>
              </w:rPr>
              <w:t xml:space="preserve"> di </w:t>
            </w:r>
            <w:proofErr w:type="spellStart"/>
            <w:r w:rsidRPr="000555DC">
              <w:rPr>
                <w:rFonts w:asciiTheme="minorHAnsi" w:eastAsia="Times New Roman" w:hAnsiTheme="minorHAnsi"/>
                <w:color w:val="000000"/>
                <w:sz w:val="22"/>
                <w:lang w:eastAsia="el-GR"/>
              </w:rPr>
              <w:t>oliva</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500ml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3,25</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Italy</w:t>
            </w:r>
            <w:proofErr w:type="spellEnd"/>
          </w:p>
        </w:tc>
      </w:tr>
      <w:tr w:rsidR="00546DB1" w:rsidRPr="000555DC" w:rsidTr="00D057D7">
        <w:trPr>
          <w:trHeight w:val="279"/>
        </w:trPr>
        <w:tc>
          <w:tcPr>
            <w:tcW w:w="1572" w:type="dxa"/>
            <w:shd w:val="clear" w:color="000000" w:fill="FFCC00"/>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Bertolli</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extra</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vergine</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originale</w:t>
            </w:r>
            <w:proofErr w:type="spellEnd"/>
            <w:r w:rsidRPr="000555DC">
              <w:rPr>
                <w:rFonts w:asciiTheme="minorHAnsi" w:eastAsia="Times New Roman" w:hAnsiTheme="minorHAnsi"/>
                <w:color w:val="000000"/>
                <w:sz w:val="22"/>
                <w:lang w:eastAsia="el-GR"/>
              </w:rPr>
              <w:t xml:space="preserve"> </w:t>
            </w:r>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250ml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2,35</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Italy</w:t>
            </w:r>
            <w:proofErr w:type="spellEnd"/>
          </w:p>
        </w:tc>
      </w:tr>
      <w:tr w:rsidR="00546DB1" w:rsidRPr="000555DC" w:rsidTr="00D057D7">
        <w:trPr>
          <w:trHeight w:val="279"/>
        </w:trPr>
        <w:tc>
          <w:tcPr>
            <w:tcW w:w="1572" w:type="dxa"/>
            <w:shd w:val="clear" w:color="000000" w:fill="FFCC00"/>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Bertolli</w:t>
            </w:r>
            <w:proofErr w:type="spellEnd"/>
            <w:r w:rsidRPr="000555DC">
              <w:rPr>
                <w:rFonts w:asciiTheme="minorHAnsi" w:eastAsia="Times New Roman" w:hAnsiTheme="minorHAnsi"/>
                <w:color w:val="000000"/>
                <w:sz w:val="22"/>
                <w:lang w:eastAsia="el-GR"/>
              </w:rPr>
              <w:t xml:space="preserve"> </w:t>
            </w:r>
            <w:proofErr w:type="spellStart"/>
            <w:r w:rsidRPr="000555DC">
              <w:rPr>
                <w:rFonts w:asciiTheme="minorHAnsi" w:eastAsia="Times New Roman" w:hAnsiTheme="minorHAnsi"/>
                <w:color w:val="000000"/>
                <w:sz w:val="22"/>
                <w:lang w:eastAsia="el-GR"/>
              </w:rPr>
              <w:t>olio</w:t>
            </w:r>
            <w:proofErr w:type="spellEnd"/>
            <w:r w:rsidRPr="000555DC">
              <w:rPr>
                <w:rFonts w:asciiTheme="minorHAnsi" w:eastAsia="Times New Roman" w:hAnsiTheme="minorHAnsi"/>
                <w:color w:val="000000"/>
                <w:sz w:val="22"/>
                <w:lang w:eastAsia="el-GR"/>
              </w:rPr>
              <w:t xml:space="preserve"> di </w:t>
            </w:r>
            <w:proofErr w:type="spellStart"/>
            <w:r w:rsidRPr="000555DC">
              <w:rPr>
                <w:rFonts w:asciiTheme="minorHAnsi" w:eastAsia="Times New Roman" w:hAnsiTheme="minorHAnsi"/>
                <w:color w:val="000000"/>
                <w:sz w:val="22"/>
                <w:lang w:eastAsia="el-GR"/>
              </w:rPr>
              <w:t>oliva</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250ml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2,85</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Italy</w:t>
            </w:r>
            <w:proofErr w:type="spellEnd"/>
          </w:p>
        </w:tc>
      </w:tr>
      <w:tr w:rsidR="00546DB1" w:rsidRPr="000555DC" w:rsidTr="00D057D7">
        <w:trPr>
          <w:trHeight w:val="279"/>
        </w:trPr>
        <w:tc>
          <w:tcPr>
            <w:tcW w:w="1572" w:type="dxa"/>
            <w:shd w:val="clear" w:color="000000" w:fill="FFCC00"/>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 </w:t>
            </w:r>
          </w:p>
        </w:tc>
        <w:tc>
          <w:tcPr>
            <w:tcW w:w="4397" w:type="dxa"/>
            <w:shd w:val="clear" w:color="auto" w:fill="auto"/>
            <w:noWrap/>
            <w:vAlign w:val="bottom"/>
            <w:hideMark/>
          </w:tcPr>
          <w:p w:rsidR="00546DB1" w:rsidRPr="000555DC" w:rsidRDefault="00546DB1" w:rsidP="00546DB1">
            <w:pPr>
              <w:spacing w:after="0" w:line="240" w:lineRule="auto"/>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Monini</w:t>
            </w:r>
            <w:proofErr w:type="spellEnd"/>
          </w:p>
        </w:tc>
        <w:tc>
          <w:tcPr>
            <w:tcW w:w="1276"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750ml</w:t>
            </w:r>
          </w:p>
        </w:tc>
        <w:tc>
          <w:tcPr>
            <w:tcW w:w="665"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r w:rsidRPr="000555DC">
              <w:rPr>
                <w:rFonts w:asciiTheme="minorHAnsi" w:eastAsia="Times New Roman" w:hAnsiTheme="minorHAnsi"/>
                <w:color w:val="000000"/>
                <w:sz w:val="22"/>
                <w:lang w:eastAsia="el-GR"/>
              </w:rPr>
              <w:t>3,49</w:t>
            </w:r>
          </w:p>
        </w:tc>
        <w:tc>
          <w:tcPr>
            <w:tcW w:w="1338" w:type="dxa"/>
            <w:shd w:val="clear" w:color="auto" w:fill="auto"/>
            <w:noWrap/>
            <w:vAlign w:val="bottom"/>
            <w:hideMark/>
          </w:tcPr>
          <w:p w:rsidR="00546DB1" w:rsidRPr="000555DC" w:rsidRDefault="00546DB1" w:rsidP="00546DB1">
            <w:pPr>
              <w:spacing w:after="0" w:line="240" w:lineRule="auto"/>
              <w:jc w:val="right"/>
              <w:rPr>
                <w:rFonts w:asciiTheme="minorHAnsi" w:eastAsia="Times New Roman" w:hAnsiTheme="minorHAnsi"/>
                <w:color w:val="000000"/>
                <w:sz w:val="22"/>
                <w:lang w:eastAsia="el-GR"/>
              </w:rPr>
            </w:pPr>
            <w:proofErr w:type="spellStart"/>
            <w:r w:rsidRPr="000555DC">
              <w:rPr>
                <w:rFonts w:asciiTheme="minorHAnsi" w:eastAsia="Times New Roman" w:hAnsiTheme="minorHAnsi"/>
                <w:color w:val="000000"/>
                <w:sz w:val="22"/>
                <w:lang w:eastAsia="el-GR"/>
              </w:rPr>
              <w:t>Italy</w:t>
            </w:r>
            <w:proofErr w:type="spellEnd"/>
          </w:p>
        </w:tc>
      </w:tr>
    </w:tbl>
    <w:p w:rsidR="009847CF" w:rsidRPr="000555DC" w:rsidRDefault="009847CF" w:rsidP="00FE3B04">
      <w:pPr>
        <w:jc w:val="both"/>
        <w:rPr>
          <w:rFonts w:asciiTheme="minorHAnsi" w:hAnsiTheme="minorHAnsi"/>
          <w:szCs w:val="24"/>
        </w:rPr>
      </w:pPr>
    </w:p>
    <w:p w:rsidR="00332969" w:rsidRPr="00574C09" w:rsidRDefault="00574C09" w:rsidP="00574C09">
      <w:pPr>
        <w:jc w:val="center"/>
        <w:rPr>
          <w:rFonts w:asciiTheme="minorHAnsi" w:hAnsiTheme="minorHAnsi"/>
          <w:b/>
          <w:color w:val="4F81BD" w:themeColor="accent1"/>
          <w:szCs w:val="24"/>
        </w:rPr>
      </w:pPr>
      <w:r>
        <w:rPr>
          <w:rFonts w:asciiTheme="minorHAnsi" w:hAnsiTheme="minorHAnsi"/>
          <w:b/>
          <w:color w:val="4F81BD" w:themeColor="accent1"/>
        </w:rPr>
        <w:t>Πίνακας 2</w:t>
      </w:r>
      <w:r w:rsidRPr="00574C09">
        <w:rPr>
          <w:rFonts w:asciiTheme="minorHAnsi" w:hAnsiTheme="minorHAnsi"/>
          <w:b/>
          <w:color w:val="4F81BD" w:themeColor="accent1"/>
        </w:rPr>
        <w:t>:  Ελληνικές εξαγωγές αγνού παρθένου ελαιολάδου σε κράτη-μέλη της Ε.Ε. (σε 1000kg)</w:t>
      </w:r>
    </w:p>
    <w:tbl>
      <w:tblPr>
        <w:tblStyle w:val="LightShading"/>
        <w:tblpPr w:leftFromText="180" w:rightFromText="180" w:vertAnchor="text" w:horzAnchor="margin" w:tblpXSpec="center" w:tblpY="1822"/>
        <w:tblW w:w="9941" w:type="dxa"/>
        <w:tblLook w:val="04A0" w:firstRow="1" w:lastRow="0" w:firstColumn="1" w:lastColumn="0" w:noHBand="0" w:noVBand="1"/>
      </w:tblPr>
      <w:tblGrid>
        <w:gridCol w:w="6158"/>
        <w:gridCol w:w="3783"/>
      </w:tblGrid>
      <w:tr w:rsidR="00574C09" w:rsidRPr="00AC4F24" w:rsidTr="00574C09">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6158" w:type="dxa"/>
            <w:noWrap/>
            <w:hideMark/>
          </w:tcPr>
          <w:p w:rsidR="00574C09" w:rsidRPr="00E92AA4" w:rsidRDefault="00574C09" w:rsidP="00574C09">
            <w:pPr>
              <w:pStyle w:val="ListParagraph"/>
              <w:numPr>
                <w:ilvl w:val="0"/>
                <w:numId w:val="4"/>
              </w:numPr>
              <w:rPr>
                <w:rFonts w:ascii="Arial" w:eastAsia="Times New Roman" w:hAnsi="Arial" w:cs="Arial"/>
                <w:sz w:val="20"/>
                <w:szCs w:val="20"/>
                <w:lang w:val="el-GR" w:eastAsia="en-GB"/>
              </w:rPr>
            </w:pPr>
            <w:r w:rsidRPr="00E92AA4">
              <w:rPr>
                <w:rFonts w:ascii="Arial" w:eastAsia="Times New Roman" w:hAnsi="Arial" w:cs="Arial"/>
                <w:sz w:val="20"/>
                <w:szCs w:val="20"/>
                <w:lang w:val="el-GR" w:eastAsia="en-GB"/>
              </w:rPr>
              <w:t>ΙΤΑΛΙΑ</w:t>
            </w:r>
          </w:p>
        </w:tc>
        <w:tc>
          <w:tcPr>
            <w:tcW w:w="3783" w:type="dxa"/>
            <w:noWrap/>
            <w:hideMark/>
          </w:tcPr>
          <w:p w:rsidR="00574C09" w:rsidRPr="00AC4F24" w:rsidRDefault="00574C09" w:rsidP="00574C09">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l-GR" w:eastAsia="en-GB"/>
              </w:rPr>
            </w:pPr>
            <w:r>
              <w:rPr>
                <w:rFonts w:ascii="Arial" w:eastAsia="Times New Roman" w:hAnsi="Arial" w:cs="Arial"/>
                <w:sz w:val="20"/>
                <w:szCs w:val="20"/>
                <w:lang w:eastAsia="en-GB"/>
              </w:rPr>
              <w:t>45</w:t>
            </w:r>
            <w:r>
              <w:rPr>
                <w:rFonts w:ascii="Arial" w:eastAsia="Times New Roman" w:hAnsi="Arial" w:cs="Arial"/>
                <w:sz w:val="20"/>
                <w:szCs w:val="20"/>
                <w:lang w:val="el-GR" w:eastAsia="en-GB"/>
              </w:rPr>
              <w:t>.</w:t>
            </w:r>
            <w:r>
              <w:rPr>
                <w:rFonts w:ascii="Arial" w:eastAsia="Times New Roman" w:hAnsi="Arial" w:cs="Arial"/>
                <w:sz w:val="20"/>
                <w:szCs w:val="20"/>
                <w:lang w:eastAsia="en-GB"/>
              </w:rPr>
              <w:t>052</w:t>
            </w:r>
          </w:p>
        </w:tc>
      </w:tr>
      <w:tr w:rsidR="00574C09" w:rsidRPr="00AC4F24" w:rsidTr="00574C0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6158" w:type="dxa"/>
            <w:noWrap/>
            <w:hideMark/>
          </w:tcPr>
          <w:p w:rsidR="00574C09" w:rsidRPr="00E92AA4" w:rsidRDefault="00574C09" w:rsidP="00574C09">
            <w:pPr>
              <w:pStyle w:val="ListParagraph"/>
              <w:numPr>
                <w:ilvl w:val="0"/>
                <w:numId w:val="4"/>
              </w:numPr>
              <w:rPr>
                <w:rFonts w:ascii="Arial" w:eastAsia="Times New Roman" w:hAnsi="Arial" w:cs="Arial"/>
                <w:sz w:val="20"/>
                <w:szCs w:val="20"/>
                <w:lang w:val="el-GR" w:eastAsia="en-GB"/>
              </w:rPr>
            </w:pPr>
            <w:r w:rsidRPr="00E92AA4">
              <w:rPr>
                <w:rFonts w:ascii="Arial" w:eastAsia="Times New Roman" w:hAnsi="Arial" w:cs="Arial"/>
                <w:sz w:val="20"/>
                <w:szCs w:val="20"/>
                <w:lang w:val="el-GR" w:eastAsia="en-GB"/>
              </w:rPr>
              <w:t>ΓΕΡΜΑΝΙΑ</w:t>
            </w:r>
          </w:p>
        </w:tc>
        <w:tc>
          <w:tcPr>
            <w:tcW w:w="3783" w:type="dxa"/>
            <w:noWrap/>
            <w:hideMark/>
          </w:tcPr>
          <w:p w:rsidR="00574C09" w:rsidRPr="00AC4F24" w:rsidRDefault="00574C09" w:rsidP="00574C0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l-GR" w:eastAsia="en-GB"/>
              </w:rPr>
            </w:pPr>
            <w:r>
              <w:rPr>
                <w:rFonts w:ascii="Arial" w:eastAsia="Times New Roman" w:hAnsi="Arial" w:cs="Arial"/>
                <w:sz w:val="20"/>
                <w:szCs w:val="20"/>
                <w:lang w:eastAsia="en-GB"/>
              </w:rPr>
              <w:t>3</w:t>
            </w:r>
            <w:r>
              <w:rPr>
                <w:rFonts w:ascii="Arial" w:eastAsia="Times New Roman" w:hAnsi="Arial" w:cs="Arial"/>
                <w:sz w:val="20"/>
                <w:szCs w:val="20"/>
                <w:lang w:val="el-GR" w:eastAsia="en-GB"/>
              </w:rPr>
              <w:t>.</w:t>
            </w:r>
            <w:r>
              <w:rPr>
                <w:rFonts w:ascii="Arial" w:eastAsia="Times New Roman" w:hAnsi="Arial" w:cs="Arial"/>
                <w:sz w:val="20"/>
                <w:szCs w:val="20"/>
                <w:lang w:eastAsia="en-GB"/>
              </w:rPr>
              <w:t>958</w:t>
            </w:r>
          </w:p>
        </w:tc>
      </w:tr>
      <w:tr w:rsidR="00574C09" w:rsidRPr="00AC4F24" w:rsidTr="00574C09">
        <w:trPr>
          <w:trHeight w:val="305"/>
        </w:trPr>
        <w:tc>
          <w:tcPr>
            <w:cnfStyle w:val="001000000000" w:firstRow="0" w:lastRow="0" w:firstColumn="1" w:lastColumn="0" w:oddVBand="0" w:evenVBand="0" w:oddHBand="0" w:evenHBand="0" w:firstRowFirstColumn="0" w:firstRowLastColumn="0" w:lastRowFirstColumn="0" w:lastRowLastColumn="0"/>
            <w:tcW w:w="6158" w:type="dxa"/>
            <w:noWrap/>
            <w:hideMark/>
          </w:tcPr>
          <w:p w:rsidR="00574C09" w:rsidRPr="00E92AA4" w:rsidRDefault="00574C09" w:rsidP="00574C09">
            <w:pPr>
              <w:pStyle w:val="ListParagraph"/>
              <w:numPr>
                <w:ilvl w:val="0"/>
                <w:numId w:val="4"/>
              </w:numPr>
              <w:rPr>
                <w:rFonts w:ascii="Arial" w:eastAsia="Times New Roman" w:hAnsi="Arial" w:cs="Arial"/>
                <w:sz w:val="20"/>
                <w:szCs w:val="20"/>
                <w:lang w:val="el-GR" w:eastAsia="en-GB"/>
              </w:rPr>
            </w:pPr>
            <w:r w:rsidRPr="00E92AA4">
              <w:rPr>
                <w:rFonts w:ascii="Arial" w:eastAsia="Times New Roman" w:hAnsi="Arial" w:cs="Arial"/>
                <w:sz w:val="20"/>
                <w:szCs w:val="20"/>
                <w:lang w:val="el-GR" w:eastAsia="en-GB"/>
              </w:rPr>
              <w:t>ΑΥΣΤΡΙΑ</w:t>
            </w:r>
          </w:p>
        </w:tc>
        <w:tc>
          <w:tcPr>
            <w:tcW w:w="3783" w:type="dxa"/>
            <w:noWrap/>
            <w:hideMark/>
          </w:tcPr>
          <w:p w:rsidR="00574C09" w:rsidRPr="00AC4F24" w:rsidRDefault="00574C09" w:rsidP="00574C0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l-GR" w:eastAsia="en-GB"/>
              </w:rPr>
            </w:pPr>
            <w:r>
              <w:rPr>
                <w:rFonts w:ascii="Arial" w:eastAsia="Times New Roman" w:hAnsi="Arial" w:cs="Arial"/>
                <w:sz w:val="20"/>
                <w:szCs w:val="20"/>
                <w:lang w:eastAsia="en-GB"/>
              </w:rPr>
              <w:t>1</w:t>
            </w:r>
            <w:r>
              <w:rPr>
                <w:rFonts w:ascii="Arial" w:eastAsia="Times New Roman" w:hAnsi="Arial" w:cs="Arial"/>
                <w:sz w:val="20"/>
                <w:szCs w:val="20"/>
                <w:lang w:val="el-GR" w:eastAsia="en-GB"/>
              </w:rPr>
              <w:t>.</w:t>
            </w:r>
            <w:r>
              <w:rPr>
                <w:rFonts w:ascii="Arial" w:eastAsia="Times New Roman" w:hAnsi="Arial" w:cs="Arial"/>
                <w:sz w:val="20"/>
                <w:szCs w:val="20"/>
                <w:lang w:eastAsia="en-GB"/>
              </w:rPr>
              <w:t>935</w:t>
            </w:r>
          </w:p>
        </w:tc>
      </w:tr>
      <w:tr w:rsidR="00574C09" w:rsidRPr="00AC4F24" w:rsidTr="00574C0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6158" w:type="dxa"/>
            <w:noWrap/>
            <w:hideMark/>
          </w:tcPr>
          <w:p w:rsidR="00574C09" w:rsidRPr="00E92AA4" w:rsidRDefault="00574C09" w:rsidP="00574C09">
            <w:pPr>
              <w:pStyle w:val="ListParagraph"/>
              <w:numPr>
                <w:ilvl w:val="0"/>
                <w:numId w:val="4"/>
              </w:numPr>
              <w:rPr>
                <w:rFonts w:ascii="Arial" w:eastAsia="Times New Roman" w:hAnsi="Arial" w:cs="Arial"/>
                <w:sz w:val="20"/>
                <w:szCs w:val="20"/>
                <w:lang w:val="el-GR" w:eastAsia="en-GB"/>
              </w:rPr>
            </w:pPr>
            <w:r w:rsidRPr="00E92AA4">
              <w:rPr>
                <w:rFonts w:ascii="Arial" w:eastAsia="Times New Roman" w:hAnsi="Arial" w:cs="Arial"/>
                <w:sz w:val="20"/>
                <w:szCs w:val="20"/>
                <w:lang w:val="el-GR" w:eastAsia="en-GB"/>
              </w:rPr>
              <w:t>ΗΝΩΜΕΝΟ ΒΑΣΙΛΕΙΟ</w:t>
            </w:r>
          </w:p>
        </w:tc>
        <w:tc>
          <w:tcPr>
            <w:tcW w:w="3783" w:type="dxa"/>
            <w:noWrap/>
            <w:hideMark/>
          </w:tcPr>
          <w:p w:rsidR="00574C09" w:rsidRPr="00AC4F24" w:rsidRDefault="00574C09" w:rsidP="00574C0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l-GR" w:eastAsia="en-GB"/>
              </w:rPr>
            </w:pPr>
            <w:r>
              <w:rPr>
                <w:rFonts w:ascii="Arial" w:eastAsia="Times New Roman" w:hAnsi="Arial" w:cs="Arial"/>
                <w:sz w:val="20"/>
                <w:szCs w:val="20"/>
                <w:lang w:eastAsia="en-GB"/>
              </w:rPr>
              <w:t>1</w:t>
            </w:r>
            <w:r>
              <w:rPr>
                <w:rFonts w:ascii="Arial" w:eastAsia="Times New Roman" w:hAnsi="Arial" w:cs="Arial"/>
                <w:sz w:val="20"/>
                <w:szCs w:val="20"/>
                <w:lang w:val="el-GR" w:eastAsia="en-GB"/>
              </w:rPr>
              <w:t>.</w:t>
            </w:r>
            <w:r>
              <w:rPr>
                <w:rFonts w:ascii="Arial" w:eastAsia="Times New Roman" w:hAnsi="Arial" w:cs="Arial"/>
                <w:sz w:val="20"/>
                <w:szCs w:val="20"/>
                <w:lang w:eastAsia="en-GB"/>
              </w:rPr>
              <w:t>028</w:t>
            </w:r>
          </w:p>
        </w:tc>
      </w:tr>
      <w:tr w:rsidR="00574C09" w:rsidRPr="00AC4F24" w:rsidTr="00574C09">
        <w:trPr>
          <w:trHeight w:val="305"/>
        </w:trPr>
        <w:tc>
          <w:tcPr>
            <w:cnfStyle w:val="001000000000" w:firstRow="0" w:lastRow="0" w:firstColumn="1" w:lastColumn="0" w:oddVBand="0" w:evenVBand="0" w:oddHBand="0" w:evenHBand="0" w:firstRowFirstColumn="0" w:firstRowLastColumn="0" w:lastRowFirstColumn="0" w:lastRowLastColumn="0"/>
            <w:tcW w:w="6158" w:type="dxa"/>
            <w:noWrap/>
            <w:hideMark/>
          </w:tcPr>
          <w:p w:rsidR="00574C09" w:rsidRPr="00E92AA4" w:rsidRDefault="00574C09" w:rsidP="00574C09">
            <w:pPr>
              <w:pStyle w:val="ListParagraph"/>
              <w:numPr>
                <w:ilvl w:val="0"/>
                <w:numId w:val="4"/>
              </w:numPr>
              <w:rPr>
                <w:rFonts w:ascii="Arial" w:eastAsia="Times New Roman" w:hAnsi="Arial" w:cs="Arial"/>
                <w:sz w:val="20"/>
                <w:szCs w:val="20"/>
                <w:lang w:val="el-GR" w:eastAsia="en-GB"/>
              </w:rPr>
            </w:pPr>
            <w:r w:rsidRPr="00E92AA4">
              <w:rPr>
                <w:rFonts w:ascii="Arial" w:eastAsia="Times New Roman" w:hAnsi="Arial" w:cs="Arial"/>
                <w:sz w:val="20"/>
                <w:szCs w:val="20"/>
                <w:lang w:val="el-GR" w:eastAsia="en-GB"/>
              </w:rPr>
              <w:t>ΚΥΠΡΟΣ</w:t>
            </w:r>
          </w:p>
        </w:tc>
        <w:tc>
          <w:tcPr>
            <w:tcW w:w="3783" w:type="dxa"/>
            <w:noWrap/>
            <w:hideMark/>
          </w:tcPr>
          <w:p w:rsidR="00574C09" w:rsidRPr="00AC4F24" w:rsidRDefault="00574C09" w:rsidP="00574C0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l-GR" w:eastAsia="en-GB"/>
              </w:rPr>
            </w:pPr>
            <w:r>
              <w:rPr>
                <w:rFonts w:ascii="Arial" w:eastAsia="Times New Roman" w:hAnsi="Arial" w:cs="Arial"/>
                <w:sz w:val="20"/>
                <w:szCs w:val="20"/>
                <w:lang w:eastAsia="en-GB"/>
              </w:rPr>
              <w:t>918</w:t>
            </w:r>
          </w:p>
        </w:tc>
      </w:tr>
      <w:tr w:rsidR="00574C09" w:rsidRPr="00AC4F24" w:rsidTr="00574C0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6158" w:type="dxa"/>
            <w:noWrap/>
            <w:hideMark/>
          </w:tcPr>
          <w:p w:rsidR="00574C09" w:rsidRPr="00E92AA4" w:rsidRDefault="00574C09" w:rsidP="00574C09">
            <w:pPr>
              <w:pStyle w:val="ListParagraph"/>
              <w:numPr>
                <w:ilvl w:val="0"/>
                <w:numId w:val="4"/>
              </w:numPr>
              <w:rPr>
                <w:rFonts w:ascii="Arial" w:eastAsia="Times New Roman" w:hAnsi="Arial" w:cs="Arial"/>
                <w:sz w:val="20"/>
                <w:szCs w:val="20"/>
                <w:lang w:val="el-GR" w:eastAsia="en-GB"/>
              </w:rPr>
            </w:pPr>
            <w:r w:rsidRPr="00E92AA4">
              <w:rPr>
                <w:rFonts w:ascii="Arial" w:eastAsia="Times New Roman" w:hAnsi="Arial" w:cs="Arial"/>
                <w:sz w:val="20"/>
                <w:szCs w:val="20"/>
                <w:lang w:val="el-GR" w:eastAsia="en-GB"/>
              </w:rPr>
              <w:t>ΣΟΥΗΔΙΑ</w:t>
            </w:r>
          </w:p>
        </w:tc>
        <w:tc>
          <w:tcPr>
            <w:tcW w:w="3783" w:type="dxa"/>
            <w:noWrap/>
            <w:hideMark/>
          </w:tcPr>
          <w:p w:rsidR="00574C09" w:rsidRPr="00AC4F24" w:rsidRDefault="00574C09" w:rsidP="00574C0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l-GR" w:eastAsia="en-GB"/>
              </w:rPr>
            </w:pPr>
            <w:r>
              <w:rPr>
                <w:rFonts w:ascii="Arial" w:eastAsia="Times New Roman" w:hAnsi="Arial" w:cs="Arial"/>
                <w:sz w:val="20"/>
                <w:szCs w:val="20"/>
                <w:lang w:eastAsia="en-GB"/>
              </w:rPr>
              <w:t>877</w:t>
            </w:r>
          </w:p>
        </w:tc>
      </w:tr>
      <w:tr w:rsidR="00574C09" w:rsidRPr="00AC4F24" w:rsidTr="00574C09">
        <w:trPr>
          <w:trHeight w:val="305"/>
        </w:trPr>
        <w:tc>
          <w:tcPr>
            <w:cnfStyle w:val="001000000000" w:firstRow="0" w:lastRow="0" w:firstColumn="1" w:lastColumn="0" w:oddVBand="0" w:evenVBand="0" w:oddHBand="0" w:evenHBand="0" w:firstRowFirstColumn="0" w:firstRowLastColumn="0" w:lastRowFirstColumn="0" w:lastRowLastColumn="0"/>
            <w:tcW w:w="6158" w:type="dxa"/>
            <w:noWrap/>
            <w:hideMark/>
          </w:tcPr>
          <w:p w:rsidR="00574C09" w:rsidRPr="00E92AA4" w:rsidRDefault="00574C09" w:rsidP="00574C09">
            <w:pPr>
              <w:pStyle w:val="ListParagraph"/>
              <w:numPr>
                <w:ilvl w:val="0"/>
                <w:numId w:val="4"/>
              </w:numPr>
              <w:rPr>
                <w:rFonts w:ascii="Arial" w:eastAsia="Times New Roman" w:hAnsi="Arial" w:cs="Arial"/>
                <w:sz w:val="20"/>
                <w:szCs w:val="20"/>
                <w:lang w:val="el-GR" w:eastAsia="en-GB"/>
              </w:rPr>
            </w:pPr>
            <w:r w:rsidRPr="00E92AA4">
              <w:rPr>
                <w:rFonts w:ascii="Arial" w:eastAsia="Times New Roman" w:hAnsi="Arial" w:cs="Arial"/>
                <w:sz w:val="20"/>
                <w:szCs w:val="20"/>
                <w:lang w:val="el-GR" w:eastAsia="en-GB"/>
              </w:rPr>
              <w:t>ΙΣΠΑΝΙΑ</w:t>
            </w:r>
          </w:p>
        </w:tc>
        <w:tc>
          <w:tcPr>
            <w:tcW w:w="3783" w:type="dxa"/>
            <w:noWrap/>
            <w:hideMark/>
          </w:tcPr>
          <w:p w:rsidR="00574C09" w:rsidRPr="00AC4F24" w:rsidRDefault="00574C09" w:rsidP="00574C0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l-GR" w:eastAsia="en-GB"/>
              </w:rPr>
            </w:pPr>
            <w:r>
              <w:rPr>
                <w:rFonts w:ascii="Arial" w:eastAsia="Times New Roman" w:hAnsi="Arial" w:cs="Arial"/>
                <w:sz w:val="20"/>
                <w:szCs w:val="20"/>
                <w:lang w:eastAsia="en-GB"/>
              </w:rPr>
              <w:t>594</w:t>
            </w:r>
          </w:p>
        </w:tc>
      </w:tr>
      <w:tr w:rsidR="00574C09" w:rsidRPr="00AC4F24" w:rsidTr="00574C0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6158" w:type="dxa"/>
            <w:noWrap/>
            <w:hideMark/>
          </w:tcPr>
          <w:p w:rsidR="00574C09" w:rsidRPr="00E92AA4" w:rsidRDefault="00574C09" w:rsidP="00574C09">
            <w:pPr>
              <w:pStyle w:val="ListParagraph"/>
              <w:numPr>
                <w:ilvl w:val="0"/>
                <w:numId w:val="4"/>
              </w:numPr>
              <w:rPr>
                <w:rFonts w:ascii="Arial" w:eastAsia="Times New Roman" w:hAnsi="Arial" w:cs="Arial"/>
                <w:sz w:val="20"/>
                <w:szCs w:val="20"/>
                <w:lang w:val="el-GR" w:eastAsia="en-GB"/>
              </w:rPr>
            </w:pPr>
            <w:r w:rsidRPr="00E92AA4">
              <w:rPr>
                <w:rFonts w:ascii="Arial" w:eastAsia="Times New Roman" w:hAnsi="Arial" w:cs="Arial"/>
                <w:sz w:val="20"/>
                <w:szCs w:val="20"/>
                <w:lang w:val="el-GR" w:eastAsia="en-GB"/>
              </w:rPr>
              <w:t>ΓΑΛΛΙΑ</w:t>
            </w:r>
          </w:p>
        </w:tc>
        <w:tc>
          <w:tcPr>
            <w:tcW w:w="3783" w:type="dxa"/>
            <w:noWrap/>
            <w:hideMark/>
          </w:tcPr>
          <w:p w:rsidR="00574C09" w:rsidRPr="00AC4F24" w:rsidRDefault="00574C09" w:rsidP="00574C0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l-GR" w:eastAsia="en-GB"/>
              </w:rPr>
            </w:pPr>
            <w:r>
              <w:rPr>
                <w:rFonts w:ascii="Arial" w:eastAsia="Times New Roman" w:hAnsi="Arial" w:cs="Arial"/>
                <w:sz w:val="20"/>
                <w:szCs w:val="20"/>
                <w:lang w:eastAsia="en-GB"/>
              </w:rPr>
              <w:t>502</w:t>
            </w:r>
          </w:p>
        </w:tc>
      </w:tr>
      <w:tr w:rsidR="00574C09" w:rsidRPr="00AC4F24" w:rsidTr="00574C09">
        <w:trPr>
          <w:trHeight w:val="305"/>
        </w:trPr>
        <w:tc>
          <w:tcPr>
            <w:cnfStyle w:val="001000000000" w:firstRow="0" w:lastRow="0" w:firstColumn="1" w:lastColumn="0" w:oddVBand="0" w:evenVBand="0" w:oddHBand="0" w:evenHBand="0" w:firstRowFirstColumn="0" w:firstRowLastColumn="0" w:lastRowFirstColumn="0" w:lastRowLastColumn="0"/>
            <w:tcW w:w="6158" w:type="dxa"/>
            <w:noWrap/>
            <w:hideMark/>
          </w:tcPr>
          <w:p w:rsidR="00574C09" w:rsidRPr="00E92AA4" w:rsidRDefault="00574C09" w:rsidP="00574C09">
            <w:pPr>
              <w:pStyle w:val="ListParagraph"/>
              <w:numPr>
                <w:ilvl w:val="0"/>
                <w:numId w:val="4"/>
              </w:numPr>
              <w:rPr>
                <w:rFonts w:ascii="Arial" w:eastAsia="Times New Roman" w:hAnsi="Arial" w:cs="Arial"/>
                <w:sz w:val="20"/>
                <w:szCs w:val="20"/>
                <w:lang w:val="el-GR" w:eastAsia="en-GB"/>
              </w:rPr>
            </w:pPr>
            <w:r w:rsidRPr="00E92AA4">
              <w:rPr>
                <w:rFonts w:ascii="Arial" w:eastAsia="Times New Roman" w:hAnsi="Arial" w:cs="Arial"/>
                <w:sz w:val="20"/>
                <w:szCs w:val="20"/>
                <w:lang w:val="el-GR" w:eastAsia="en-GB"/>
              </w:rPr>
              <w:t>ΒΟΥΛΓΑΡΙΑ</w:t>
            </w:r>
          </w:p>
        </w:tc>
        <w:tc>
          <w:tcPr>
            <w:tcW w:w="3783" w:type="dxa"/>
            <w:noWrap/>
            <w:hideMark/>
          </w:tcPr>
          <w:p w:rsidR="00574C09" w:rsidRPr="00AC4F24" w:rsidRDefault="00574C09" w:rsidP="00574C0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l-GR" w:eastAsia="en-GB"/>
              </w:rPr>
            </w:pPr>
            <w:r>
              <w:rPr>
                <w:rFonts w:ascii="Arial" w:eastAsia="Times New Roman" w:hAnsi="Arial" w:cs="Arial"/>
                <w:sz w:val="20"/>
                <w:szCs w:val="20"/>
                <w:lang w:eastAsia="en-GB"/>
              </w:rPr>
              <w:t>395</w:t>
            </w:r>
          </w:p>
        </w:tc>
      </w:tr>
      <w:tr w:rsidR="00574C09" w:rsidRPr="00AC4F24" w:rsidTr="00574C0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6158" w:type="dxa"/>
            <w:noWrap/>
            <w:hideMark/>
          </w:tcPr>
          <w:p w:rsidR="00574C09" w:rsidRPr="00E92AA4" w:rsidRDefault="00574C09" w:rsidP="00574C09">
            <w:pPr>
              <w:pStyle w:val="ListParagraph"/>
              <w:numPr>
                <w:ilvl w:val="0"/>
                <w:numId w:val="4"/>
              </w:numPr>
              <w:rPr>
                <w:rFonts w:ascii="Arial" w:eastAsia="Times New Roman" w:hAnsi="Arial" w:cs="Arial"/>
                <w:sz w:val="20"/>
                <w:szCs w:val="20"/>
                <w:lang w:val="el-GR" w:eastAsia="en-GB"/>
              </w:rPr>
            </w:pPr>
            <w:r w:rsidRPr="00E92AA4">
              <w:rPr>
                <w:rFonts w:ascii="Arial" w:eastAsia="Times New Roman" w:hAnsi="Arial" w:cs="Arial"/>
                <w:sz w:val="20"/>
                <w:szCs w:val="20"/>
                <w:lang w:val="el-GR" w:eastAsia="en-GB"/>
              </w:rPr>
              <w:t>ΦΙΝΛΑΝΔΙΑ</w:t>
            </w:r>
          </w:p>
        </w:tc>
        <w:tc>
          <w:tcPr>
            <w:tcW w:w="3783" w:type="dxa"/>
            <w:noWrap/>
            <w:hideMark/>
          </w:tcPr>
          <w:p w:rsidR="00574C09" w:rsidRPr="00AC4F24" w:rsidRDefault="00574C09" w:rsidP="00574C0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l-GR" w:eastAsia="en-GB"/>
              </w:rPr>
            </w:pPr>
            <w:r>
              <w:rPr>
                <w:rFonts w:ascii="Arial" w:eastAsia="Times New Roman" w:hAnsi="Arial" w:cs="Arial"/>
                <w:sz w:val="20"/>
                <w:szCs w:val="20"/>
                <w:lang w:eastAsia="en-GB"/>
              </w:rPr>
              <w:t>386</w:t>
            </w:r>
          </w:p>
        </w:tc>
      </w:tr>
      <w:tr w:rsidR="00574C09" w:rsidRPr="00AC4F24" w:rsidTr="00574C09">
        <w:trPr>
          <w:trHeight w:val="305"/>
        </w:trPr>
        <w:tc>
          <w:tcPr>
            <w:cnfStyle w:val="001000000000" w:firstRow="0" w:lastRow="0" w:firstColumn="1" w:lastColumn="0" w:oddVBand="0" w:evenVBand="0" w:oddHBand="0" w:evenHBand="0" w:firstRowFirstColumn="0" w:firstRowLastColumn="0" w:lastRowFirstColumn="0" w:lastRowLastColumn="0"/>
            <w:tcW w:w="6158" w:type="dxa"/>
            <w:noWrap/>
            <w:hideMark/>
          </w:tcPr>
          <w:p w:rsidR="00574C09" w:rsidRPr="00E92AA4" w:rsidRDefault="00574C09" w:rsidP="00574C09">
            <w:pPr>
              <w:pStyle w:val="ListParagraph"/>
              <w:numPr>
                <w:ilvl w:val="0"/>
                <w:numId w:val="4"/>
              </w:numPr>
              <w:rPr>
                <w:rFonts w:ascii="Arial" w:eastAsia="Times New Roman" w:hAnsi="Arial" w:cs="Arial"/>
                <w:sz w:val="20"/>
                <w:szCs w:val="20"/>
                <w:lang w:val="el-GR" w:eastAsia="en-GB"/>
              </w:rPr>
            </w:pPr>
            <w:r w:rsidRPr="00E92AA4">
              <w:rPr>
                <w:rFonts w:ascii="Arial" w:eastAsia="Times New Roman" w:hAnsi="Arial" w:cs="Arial"/>
                <w:sz w:val="20"/>
                <w:szCs w:val="20"/>
                <w:lang w:val="el-GR" w:eastAsia="en-GB"/>
              </w:rPr>
              <w:t>ΒΕΛΓΙΟ</w:t>
            </w:r>
          </w:p>
        </w:tc>
        <w:tc>
          <w:tcPr>
            <w:tcW w:w="3783" w:type="dxa"/>
            <w:noWrap/>
            <w:hideMark/>
          </w:tcPr>
          <w:p w:rsidR="00574C09" w:rsidRPr="00AC4F24" w:rsidRDefault="00574C09" w:rsidP="00574C0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l-GR" w:eastAsia="en-GB"/>
              </w:rPr>
            </w:pPr>
            <w:r>
              <w:rPr>
                <w:rFonts w:ascii="Arial" w:eastAsia="Times New Roman" w:hAnsi="Arial" w:cs="Arial"/>
                <w:sz w:val="20"/>
                <w:szCs w:val="20"/>
                <w:lang w:eastAsia="en-GB"/>
              </w:rPr>
              <w:t>365</w:t>
            </w:r>
          </w:p>
        </w:tc>
      </w:tr>
      <w:tr w:rsidR="00574C09" w:rsidRPr="00AC4F24" w:rsidTr="00574C0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6158" w:type="dxa"/>
            <w:noWrap/>
            <w:hideMark/>
          </w:tcPr>
          <w:p w:rsidR="00574C09" w:rsidRPr="00E92AA4" w:rsidRDefault="00574C09" w:rsidP="00574C09">
            <w:pPr>
              <w:pStyle w:val="ListParagraph"/>
              <w:numPr>
                <w:ilvl w:val="0"/>
                <w:numId w:val="4"/>
              </w:numPr>
              <w:rPr>
                <w:rFonts w:ascii="Arial" w:eastAsia="Times New Roman" w:hAnsi="Arial" w:cs="Arial"/>
                <w:sz w:val="20"/>
                <w:szCs w:val="20"/>
                <w:lang w:val="el-GR" w:eastAsia="en-GB"/>
              </w:rPr>
            </w:pPr>
            <w:r>
              <w:rPr>
                <w:rFonts w:ascii="Arial" w:eastAsia="Times New Roman" w:hAnsi="Arial" w:cs="Arial"/>
                <w:sz w:val="20"/>
                <w:szCs w:val="20"/>
                <w:lang w:val="el-GR" w:eastAsia="en-GB"/>
              </w:rPr>
              <w:t>ΤΣΕΧΙΑ</w:t>
            </w:r>
          </w:p>
        </w:tc>
        <w:tc>
          <w:tcPr>
            <w:tcW w:w="3783" w:type="dxa"/>
            <w:noWrap/>
            <w:hideMark/>
          </w:tcPr>
          <w:p w:rsidR="00574C09" w:rsidRPr="00AC4F24" w:rsidRDefault="00574C09" w:rsidP="00574C0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l-GR" w:eastAsia="en-GB"/>
              </w:rPr>
            </w:pPr>
            <w:r>
              <w:rPr>
                <w:rFonts w:ascii="Arial" w:eastAsia="Times New Roman" w:hAnsi="Arial" w:cs="Arial"/>
                <w:sz w:val="20"/>
                <w:szCs w:val="20"/>
                <w:lang w:eastAsia="en-GB"/>
              </w:rPr>
              <w:t>334</w:t>
            </w:r>
          </w:p>
        </w:tc>
      </w:tr>
      <w:tr w:rsidR="00574C09" w:rsidRPr="00AC4F24" w:rsidTr="00574C09">
        <w:trPr>
          <w:trHeight w:val="305"/>
        </w:trPr>
        <w:tc>
          <w:tcPr>
            <w:cnfStyle w:val="001000000000" w:firstRow="0" w:lastRow="0" w:firstColumn="1" w:lastColumn="0" w:oddVBand="0" w:evenVBand="0" w:oddHBand="0" w:evenHBand="0" w:firstRowFirstColumn="0" w:firstRowLastColumn="0" w:lastRowFirstColumn="0" w:lastRowLastColumn="0"/>
            <w:tcW w:w="6158" w:type="dxa"/>
            <w:noWrap/>
            <w:hideMark/>
          </w:tcPr>
          <w:p w:rsidR="00574C09" w:rsidRPr="00E92AA4" w:rsidRDefault="00574C09" w:rsidP="00574C09">
            <w:pPr>
              <w:pStyle w:val="ListParagraph"/>
              <w:numPr>
                <w:ilvl w:val="0"/>
                <w:numId w:val="4"/>
              </w:numPr>
              <w:rPr>
                <w:rFonts w:ascii="Arial" w:eastAsia="Times New Roman" w:hAnsi="Arial" w:cs="Arial"/>
                <w:sz w:val="20"/>
                <w:szCs w:val="20"/>
                <w:lang w:val="el-GR" w:eastAsia="en-GB"/>
              </w:rPr>
            </w:pPr>
            <w:r w:rsidRPr="00E92AA4">
              <w:rPr>
                <w:rFonts w:ascii="Arial" w:eastAsia="Times New Roman" w:hAnsi="Arial" w:cs="Arial"/>
                <w:sz w:val="20"/>
                <w:szCs w:val="20"/>
                <w:lang w:val="el-GR" w:eastAsia="en-GB"/>
              </w:rPr>
              <w:t>ΡΟΥΜΑΝΙΑ</w:t>
            </w:r>
          </w:p>
        </w:tc>
        <w:tc>
          <w:tcPr>
            <w:tcW w:w="3783" w:type="dxa"/>
            <w:noWrap/>
            <w:hideMark/>
          </w:tcPr>
          <w:p w:rsidR="00574C09" w:rsidRPr="00AC4F24" w:rsidRDefault="00574C09" w:rsidP="00574C0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l-GR" w:eastAsia="en-GB"/>
              </w:rPr>
            </w:pPr>
            <w:r>
              <w:rPr>
                <w:rFonts w:ascii="Arial" w:eastAsia="Times New Roman" w:hAnsi="Arial" w:cs="Arial"/>
                <w:sz w:val="20"/>
                <w:szCs w:val="20"/>
                <w:lang w:eastAsia="en-GB"/>
              </w:rPr>
              <w:t>260</w:t>
            </w:r>
          </w:p>
        </w:tc>
      </w:tr>
      <w:tr w:rsidR="00574C09" w:rsidRPr="00AC4F24" w:rsidTr="00574C0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6158" w:type="dxa"/>
            <w:noWrap/>
            <w:hideMark/>
          </w:tcPr>
          <w:p w:rsidR="00574C09" w:rsidRPr="00E92AA4" w:rsidRDefault="00574C09" w:rsidP="00574C09">
            <w:pPr>
              <w:pStyle w:val="ListParagraph"/>
              <w:numPr>
                <w:ilvl w:val="0"/>
                <w:numId w:val="4"/>
              </w:numPr>
              <w:rPr>
                <w:rFonts w:ascii="Arial" w:eastAsia="Times New Roman" w:hAnsi="Arial" w:cs="Arial"/>
                <w:sz w:val="20"/>
                <w:szCs w:val="20"/>
                <w:lang w:val="el-GR" w:eastAsia="en-GB"/>
              </w:rPr>
            </w:pPr>
            <w:r w:rsidRPr="00E92AA4">
              <w:rPr>
                <w:rFonts w:ascii="Arial" w:eastAsia="Times New Roman" w:hAnsi="Arial" w:cs="Arial"/>
                <w:sz w:val="20"/>
                <w:szCs w:val="20"/>
                <w:lang w:val="el-GR" w:eastAsia="en-GB"/>
              </w:rPr>
              <w:t>ΟΛΛΑΝΔΙΑ</w:t>
            </w:r>
          </w:p>
        </w:tc>
        <w:tc>
          <w:tcPr>
            <w:tcW w:w="3783" w:type="dxa"/>
            <w:noWrap/>
            <w:hideMark/>
          </w:tcPr>
          <w:p w:rsidR="00574C09" w:rsidRPr="00AC4F24" w:rsidRDefault="00574C09" w:rsidP="00574C0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l-GR" w:eastAsia="en-GB"/>
              </w:rPr>
            </w:pPr>
            <w:r>
              <w:rPr>
                <w:rFonts w:ascii="Arial" w:eastAsia="Times New Roman" w:hAnsi="Arial" w:cs="Arial"/>
                <w:sz w:val="20"/>
                <w:szCs w:val="20"/>
                <w:lang w:eastAsia="en-GB"/>
              </w:rPr>
              <w:t>131</w:t>
            </w:r>
          </w:p>
        </w:tc>
      </w:tr>
      <w:tr w:rsidR="00574C09" w:rsidRPr="00AC4F24" w:rsidTr="00574C09">
        <w:trPr>
          <w:trHeight w:val="305"/>
        </w:trPr>
        <w:tc>
          <w:tcPr>
            <w:cnfStyle w:val="001000000000" w:firstRow="0" w:lastRow="0" w:firstColumn="1" w:lastColumn="0" w:oddVBand="0" w:evenVBand="0" w:oddHBand="0" w:evenHBand="0" w:firstRowFirstColumn="0" w:firstRowLastColumn="0" w:lastRowFirstColumn="0" w:lastRowLastColumn="0"/>
            <w:tcW w:w="6158" w:type="dxa"/>
            <w:noWrap/>
            <w:hideMark/>
          </w:tcPr>
          <w:p w:rsidR="00574C09" w:rsidRPr="00E92AA4" w:rsidRDefault="00574C09" w:rsidP="00574C09">
            <w:pPr>
              <w:pStyle w:val="ListParagraph"/>
              <w:numPr>
                <w:ilvl w:val="0"/>
                <w:numId w:val="4"/>
              </w:numPr>
              <w:rPr>
                <w:rFonts w:ascii="Arial" w:eastAsia="Times New Roman" w:hAnsi="Arial" w:cs="Arial"/>
                <w:sz w:val="20"/>
                <w:szCs w:val="20"/>
                <w:lang w:val="el-GR" w:eastAsia="en-GB"/>
              </w:rPr>
            </w:pPr>
            <w:r w:rsidRPr="00E92AA4">
              <w:rPr>
                <w:rFonts w:ascii="Arial" w:eastAsia="Times New Roman" w:hAnsi="Arial" w:cs="Arial"/>
                <w:sz w:val="20"/>
                <w:szCs w:val="20"/>
                <w:lang w:val="el-GR" w:eastAsia="en-GB"/>
              </w:rPr>
              <w:t>ΔΑΝΙΑ</w:t>
            </w:r>
          </w:p>
        </w:tc>
        <w:tc>
          <w:tcPr>
            <w:tcW w:w="3783" w:type="dxa"/>
            <w:noWrap/>
            <w:hideMark/>
          </w:tcPr>
          <w:p w:rsidR="00574C09" w:rsidRPr="00AC4F24" w:rsidRDefault="00574C09" w:rsidP="00574C0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l-GR" w:eastAsia="en-GB"/>
              </w:rPr>
            </w:pPr>
            <w:r>
              <w:rPr>
                <w:rFonts w:ascii="Arial" w:eastAsia="Times New Roman" w:hAnsi="Arial" w:cs="Arial"/>
                <w:sz w:val="20"/>
                <w:szCs w:val="20"/>
                <w:lang w:eastAsia="en-GB"/>
              </w:rPr>
              <w:t>130</w:t>
            </w:r>
          </w:p>
        </w:tc>
      </w:tr>
      <w:tr w:rsidR="00574C09" w:rsidRPr="00AC4F24" w:rsidTr="00574C0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6158" w:type="dxa"/>
            <w:noWrap/>
            <w:hideMark/>
          </w:tcPr>
          <w:p w:rsidR="00574C09" w:rsidRPr="00E92AA4" w:rsidRDefault="00574C09" w:rsidP="00574C09">
            <w:pPr>
              <w:pStyle w:val="ListParagraph"/>
              <w:numPr>
                <w:ilvl w:val="0"/>
                <w:numId w:val="4"/>
              </w:numPr>
              <w:rPr>
                <w:rFonts w:ascii="Arial" w:eastAsia="Times New Roman" w:hAnsi="Arial" w:cs="Arial"/>
                <w:sz w:val="20"/>
                <w:szCs w:val="20"/>
                <w:lang w:val="el-GR" w:eastAsia="en-GB"/>
              </w:rPr>
            </w:pPr>
            <w:r w:rsidRPr="00E92AA4">
              <w:rPr>
                <w:rFonts w:ascii="Arial" w:eastAsia="Times New Roman" w:hAnsi="Arial" w:cs="Arial"/>
                <w:sz w:val="20"/>
                <w:szCs w:val="20"/>
                <w:lang w:val="el-GR" w:eastAsia="en-GB"/>
              </w:rPr>
              <w:t>ΛΙΘΟΥΑΝΙΑ</w:t>
            </w:r>
          </w:p>
        </w:tc>
        <w:tc>
          <w:tcPr>
            <w:tcW w:w="3783" w:type="dxa"/>
            <w:noWrap/>
            <w:hideMark/>
          </w:tcPr>
          <w:p w:rsidR="00574C09" w:rsidRPr="00AC4F24" w:rsidRDefault="00574C09" w:rsidP="00574C0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l-GR" w:eastAsia="en-GB"/>
              </w:rPr>
            </w:pPr>
            <w:r>
              <w:rPr>
                <w:rFonts w:ascii="Arial" w:eastAsia="Times New Roman" w:hAnsi="Arial" w:cs="Arial"/>
                <w:sz w:val="20"/>
                <w:szCs w:val="20"/>
                <w:lang w:eastAsia="en-GB"/>
              </w:rPr>
              <w:t>87</w:t>
            </w:r>
          </w:p>
        </w:tc>
      </w:tr>
      <w:tr w:rsidR="00574C09" w:rsidRPr="00AC4F24" w:rsidTr="00574C09">
        <w:trPr>
          <w:trHeight w:val="305"/>
        </w:trPr>
        <w:tc>
          <w:tcPr>
            <w:cnfStyle w:val="001000000000" w:firstRow="0" w:lastRow="0" w:firstColumn="1" w:lastColumn="0" w:oddVBand="0" w:evenVBand="0" w:oddHBand="0" w:evenHBand="0" w:firstRowFirstColumn="0" w:firstRowLastColumn="0" w:lastRowFirstColumn="0" w:lastRowLastColumn="0"/>
            <w:tcW w:w="6158" w:type="dxa"/>
            <w:noWrap/>
            <w:hideMark/>
          </w:tcPr>
          <w:p w:rsidR="00574C09" w:rsidRPr="00E92AA4" w:rsidRDefault="00574C09" w:rsidP="00574C09">
            <w:pPr>
              <w:pStyle w:val="ListParagraph"/>
              <w:numPr>
                <w:ilvl w:val="0"/>
                <w:numId w:val="4"/>
              </w:numPr>
              <w:rPr>
                <w:rFonts w:ascii="Arial" w:eastAsia="Times New Roman" w:hAnsi="Arial" w:cs="Arial"/>
                <w:sz w:val="20"/>
                <w:szCs w:val="20"/>
                <w:lang w:val="el-GR" w:eastAsia="en-GB"/>
              </w:rPr>
            </w:pPr>
            <w:r w:rsidRPr="00E92AA4">
              <w:rPr>
                <w:rFonts w:ascii="Arial" w:eastAsia="Times New Roman" w:hAnsi="Arial" w:cs="Arial"/>
                <w:sz w:val="20"/>
                <w:szCs w:val="20"/>
                <w:lang w:val="el-GR" w:eastAsia="en-GB"/>
              </w:rPr>
              <w:t>ΠΟΛΩΝΙΑ</w:t>
            </w:r>
          </w:p>
        </w:tc>
        <w:tc>
          <w:tcPr>
            <w:tcW w:w="3783" w:type="dxa"/>
            <w:noWrap/>
            <w:hideMark/>
          </w:tcPr>
          <w:p w:rsidR="00574C09" w:rsidRPr="00AC4F24" w:rsidRDefault="00574C09" w:rsidP="00574C0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l-GR" w:eastAsia="en-GB"/>
              </w:rPr>
            </w:pPr>
            <w:r>
              <w:rPr>
                <w:rFonts w:ascii="Arial" w:eastAsia="Times New Roman" w:hAnsi="Arial" w:cs="Arial"/>
                <w:sz w:val="20"/>
                <w:szCs w:val="20"/>
                <w:lang w:eastAsia="en-GB"/>
              </w:rPr>
              <w:t>83</w:t>
            </w:r>
          </w:p>
        </w:tc>
      </w:tr>
      <w:tr w:rsidR="00574C09" w:rsidRPr="00AC4F24" w:rsidTr="00574C0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6158" w:type="dxa"/>
            <w:noWrap/>
            <w:hideMark/>
          </w:tcPr>
          <w:p w:rsidR="00574C09" w:rsidRPr="00E92AA4" w:rsidRDefault="00574C09" w:rsidP="00574C09">
            <w:pPr>
              <w:pStyle w:val="ListParagraph"/>
              <w:numPr>
                <w:ilvl w:val="0"/>
                <w:numId w:val="4"/>
              </w:numPr>
              <w:rPr>
                <w:rFonts w:ascii="Arial" w:eastAsia="Times New Roman" w:hAnsi="Arial" w:cs="Arial"/>
                <w:sz w:val="20"/>
                <w:szCs w:val="20"/>
                <w:lang w:val="el-GR" w:eastAsia="en-GB"/>
              </w:rPr>
            </w:pPr>
            <w:r w:rsidRPr="00E92AA4">
              <w:rPr>
                <w:rFonts w:ascii="Arial" w:eastAsia="Times New Roman" w:hAnsi="Arial" w:cs="Arial"/>
                <w:sz w:val="20"/>
                <w:szCs w:val="20"/>
                <w:lang w:val="el-GR" w:eastAsia="en-GB"/>
              </w:rPr>
              <w:t>ΣΛΟΒΕΝΙΑ</w:t>
            </w:r>
          </w:p>
        </w:tc>
        <w:tc>
          <w:tcPr>
            <w:tcW w:w="3783" w:type="dxa"/>
            <w:noWrap/>
            <w:hideMark/>
          </w:tcPr>
          <w:p w:rsidR="00574C09" w:rsidRPr="00AC4F24" w:rsidRDefault="00574C09" w:rsidP="00574C0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l-GR" w:eastAsia="en-GB"/>
              </w:rPr>
            </w:pPr>
            <w:r>
              <w:rPr>
                <w:rFonts w:ascii="Arial" w:eastAsia="Times New Roman" w:hAnsi="Arial" w:cs="Arial"/>
                <w:sz w:val="20"/>
                <w:szCs w:val="20"/>
                <w:lang w:eastAsia="en-GB"/>
              </w:rPr>
              <w:t>45</w:t>
            </w:r>
          </w:p>
        </w:tc>
      </w:tr>
      <w:tr w:rsidR="00574C09" w:rsidRPr="00AC4F24" w:rsidTr="00574C09">
        <w:trPr>
          <w:trHeight w:val="305"/>
        </w:trPr>
        <w:tc>
          <w:tcPr>
            <w:cnfStyle w:val="001000000000" w:firstRow="0" w:lastRow="0" w:firstColumn="1" w:lastColumn="0" w:oddVBand="0" w:evenVBand="0" w:oddHBand="0" w:evenHBand="0" w:firstRowFirstColumn="0" w:firstRowLastColumn="0" w:lastRowFirstColumn="0" w:lastRowLastColumn="0"/>
            <w:tcW w:w="6158" w:type="dxa"/>
            <w:noWrap/>
            <w:hideMark/>
          </w:tcPr>
          <w:p w:rsidR="00574C09" w:rsidRPr="00E92AA4" w:rsidRDefault="00574C09" w:rsidP="00574C09">
            <w:pPr>
              <w:pStyle w:val="ListParagraph"/>
              <w:numPr>
                <w:ilvl w:val="0"/>
                <w:numId w:val="4"/>
              </w:numPr>
              <w:rPr>
                <w:rFonts w:ascii="Arial" w:eastAsia="Times New Roman" w:hAnsi="Arial" w:cs="Arial"/>
                <w:sz w:val="20"/>
                <w:szCs w:val="20"/>
                <w:lang w:val="el-GR" w:eastAsia="en-GB"/>
              </w:rPr>
            </w:pPr>
            <w:r w:rsidRPr="00E92AA4">
              <w:rPr>
                <w:rFonts w:ascii="Arial" w:eastAsia="Times New Roman" w:hAnsi="Arial" w:cs="Arial"/>
                <w:sz w:val="20"/>
                <w:szCs w:val="20"/>
                <w:lang w:val="el-GR" w:eastAsia="en-GB"/>
              </w:rPr>
              <w:t>ΚΡΟΑΤΙΑ</w:t>
            </w:r>
          </w:p>
        </w:tc>
        <w:tc>
          <w:tcPr>
            <w:tcW w:w="3783" w:type="dxa"/>
            <w:noWrap/>
            <w:hideMark/>
          </w:tcPr>
          <w:p w:rsidR="00574C09" w:rsidRPr="00AC4F24" w:rsidRDefault="00574C09" w:rsidP="00574C0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l-GR" w:eastAsia="en-GB"/>
              </w:rPr>
            </w:pPr>
            <w:r>
              <w:rPr>
                <w:rFonts w:ascii="Arial" w:eastAsia="Times New Roman" w:hAnsi="Arial" w:cs="Arial"/>
                <w:sz w:val="20"/>
                <w:szCs w:val="20"/>
                <w:lang w:eastAsia="en-GB"/>
              </w:rPr>
              <w:t>28</w:t>
            </w:r>
          </w:p>
        </w:tc>
      </w:tr>
      <w:tr w:rsidR="00574C09" w:rsidRPr="00AC4F24" w:rsidTr="00574C0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6158" w:type="dxa"/>
            <w:noWrap/>
            <w:hideMark/>
          </w:tcPr>
          <w:p w:rsidR="00574C09" w:rsidRPr="00E92AA4" w:rsidRDefault="00574C09" w:rsidP="00574C09">
            <w:pPr>
              <w:pStyle w:val="ListParagraph"/>
              <w:numPr>
                <w:ilvl w:val="0"/>
                <w:numId w:val="4"/>
              </w:numPr>
              <w:rPr>
                <w:rFonts w:ascii="Arial" w:eastAsia="Times New Roman" w:hAnsi="Arial" w:cs="Arial"/>
                <w:sz w:val="20"/>
                <w:szCs w:val="20"/>
                <w:lang w:val="el-GR" w:eastAsia="en-GB"/>
              </w:rPr>
            </w:pPr>
            <w:r w:rsidRPr="00E92AA4">
              <w:rPr>
                <w:rFonts w:ascii="Arial" w:eastAsia="Times New Roman" w:hAnsi="Arial" w:cs="Arial"/>
                <w:sz w:val="20"/>
                <w:szCs w:val="20"/>
                <w:lang w:eastAsia="en-GB"/>
              </w:rPr>
              <w:t>E</w:t>
            </w:r>
            <w:r w:rsidRPr="00E92AA4">
              <w:rPr>
                <w:rFonts w:ascii="Arial" w:eastAsia="Times New Roman" w:hAnsi="Arial" w:cs="Arial"/>
                <w:sz w:val="20"/>
                <w:szCs w:val="20"/>
                <w:lang w:val="el-GR" w:eastAsia="en-GB"/>
              </w:rPr>
              <w:t>ΣΘΟΝΙΑ</w:t>
            </w:r>
          </w:p>
        </w:tc>
        <w:tc>
          <w:tcPr>
            <w:tcW w:w="3783" w:type="dxa"/>
            <w:noWrap/>
            <w:hideMark/>
          </w:tcPr>
          <w:p w:rsidR="00574C09" w:rsidRPr="00AC4F24" w:rsidRDefault="00574C09" w:rsidP="00574C0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l-GR" w:eastAsia="en-GB"/>
              </w:rPr>
            </w:pPr>
            <w:r>
              <w:rPr>
                <w:rFonts w:ascii="Arial" w:eastAsia="Times New Roman" w:hAnsi="Arial" w:cs="Arial"/>
                <w:sz w:val="20"/>
                <w:szCs w:val="20"/>
                <w:lang w:eastAsia="en-GB"/>
              </w:rPr>
              <w:t>25</w:t>
            </w:r>
          </w:p>
        </w:tc>
      </w:tr>
      <w:tr w:rsidR="00574C09" w:rsidRPr="00AC4F24" w:rsidTr="00574C09">
        <w:trPr>
          <w:trHeight w:val="305"/>
        </w:trPr>
        <w:tc>
          <w:tcPr>
            <w:cnfStyle w:val="001000000000" w:firstRow="0" w:lastRow="0" w:firstColumn="1" w:lastColumn="0" w:oddVBand="0" w:evenVBand="0" w:oddHBand="0" w:evenHBand="0" w:firstRowFirstColumn="0" w:firstRowLastColumn="0" w:lastRowFirstColumn="0" w:lastRowLastColumn="0"/>
            <w:tcW w:w="6158" w:type="dxa"/>
            <w:noWrap/>
            <w:hideMark/>
          </w:tcPr>
          <w:p w:rsidR="00574C09" w:rsidRPr="00E92AA4" w:rsidRDefault="00574C09" w:rsidP="00574C09">
            <w:pPr>
              <w:pStyle w:val="ListParagraph"/>
              <w:numPr>
                <w:ilvl w:val="0"/>
                <w:numId w:val="4"/>
              </w:numPr>
              <w:rPr>
                <w:rFonts w:ascii="Arial" w:eastAsia="Times New Roman" w:hAnsi="Arial" w:cs="Arial"/>
                <w:sz w:val="20"/>
                <w:szCs w:val="20"/>
                <w:lang w:val="el-GR" w:eastAsia="en-GB"/>
              </w:rPr>
            </w:pPr>
            <w:r w:rsidRPr="00E92AA4">
              <w:rPr>
                <w:rFonts w:ascii="Arial" w:eastAsia="Times New Roman" w:hAnsi="Arial" w:cs="Arial"/>
                <w:sz w:val="20"/>
                <w:szCs w:val="20"/>
                <w:lang w:val="el-GR" w:eastAsia="en-GB"/>
              </w:rPr>
              <w:t>ΣΛΟΒΑΚΙΑ</w:t>
            </w:r>
          </w:p>
        </w:tc>
        <w:tc>
          <w:tcPr>
            <w:tcW w:w="3783" w:type="dxa"/>
            <w:noWrap/>
            <w:hideMark/>
          </w:tcPr>
          <w:p w:rsidR="00574C09" w:rsidRPr="00AC4F24" w:rsidRDefault="00574C09" w:rsidP="00574C0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l-GR" w:eastAsia="en-GB"/>
              </w:rPr>
            </w:pPr>
            <w:r>
              <w:rPr>
                <w:rFonts w:ascii="Arial" w:eastAsia="Times New Roman" w:hAnsi="Arial" w:cs="Arial"/>
                <w:sz w:val="20"/>
                <w:szCs w:val="20"/>
                <w:lang w:eastAsia="en-GB"/>
              </w:rPr>
              <w:t>9</w:t>
            </w:r>
          </w:p>
        </w:tc>
      </w:tr>
      <w:tr w:rsidR="00574C09" w:rsidRPr="00AC4F24" w:rsidTr="00574C0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6158" w:type="dxa"/>
            <w:noWrap/>
            <w:hideMark/>
          </w:tcPr>
          <w:p w:rsidR="00574C09" w:rsidRPr="00E92AA4" w:rsidRDefault="00574C09" w:rsidP="00574C09">
            <w:pPr>
              <w:pStyle w:val="ListParagraph"/>
              <w:numPr>
                <w:ilvl w:val="0"/>
                <w:numId w:val="4"/>
              </w:numPr>
              <w:rPr>
                <w:rFonts w:ascii="Arial" w:eastAsia="Times New Roman" w:hAnsi="Arial" w:cs="Arial"/>
                <w:sz w:val="20"/>
                <w:szCs w:val="20"/>
                <w:lang w:val="el-GR" w:eastAsia="en-GB"/>
              </w:rPr>
            </w:pPr>
            <w:r w:rsidRPr="00E92AA4">
              <w:rPr>
                <w:rFonts w:ascii="Arial" w:eastAsia="Times New Roman" w:hAnsi="Arial" w:cs="Arial"/>
                <w:sz w:val="20"/>
                <w:szCs w:val="20"/>
                <w:lang w:val="el-GR" w:eastAsia="en-GB"/>
              </w:rPr>
              <w:t>ΛΕΤΤΟΝΙΑ</w:t>
            </w:r>
          </w:p>
        </w:tc>
        <w:tc>
          <w:tcPr>
            <w:tcW w:w="3783" w:type="dxa"/>
            <w:noWrap/>
            <w:hideMark/>
          </w:tcPr>
          <w:p w:rsidR="00574C09" w:rsidRPr="00AC4F24" w:rsidRDefault="00574C09" w:rsidP="00574C0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l-GR" w:eastAsia="en-GB"/>
              </w:rPr>
            </w:pPr>
            <w:r>
              <w:rPr>
                <w:rFonts w:ascii="Arial" w:eastAsia="Times New Roman" w:hAnsi="Arial" w:cs="Arial"/>
                <w:sz w:val="20"/>
                <w:szCs w:val="20"/>
                <w:lang w:eastAsia="en-GB"/>
              </w:rPr>
              <w:t>8</w:t>
            </w:r>
          </w:p>
        </w:tc>
      </w:tr>
      <w:tr w:rsidR="00574C09" w:rsidRPr="00AC4F24" w:rsidTr="00574C09">
        <w:trPr>
          <w:trHeight w:val="305"/>
        </w:trPr>
        <w:tc>
          <w:tcPr>
            <w:cnfStyle w:val="001000000000" w:firstRow="0" w:lastRow="0" w:firstColumn="1" w:lastColumn="0" w:oddVBand="0" w:evenVBand="0" w:oddHBand="0" w:evenHBand="0" w:firstRowFirstColumn="0" w:firstRowLastColumn="0" w:lastRowFirstColumn="0" w:lastRowLastColumn="0"/>
            <w:tcW w:w="6158" w:type="dxa"/>
            <w:noWrap/>
            <w:hideMark/>
          </w:tcPr>
          <w:p w:rsidR="00574C09" w:rsidRPr="00E92AA4" w:rsidRDefault="00574C09" w:rsidP="00574C09">
            <w:pPr>
              <w:pStyle w:val="ListParagraph"/>
              <w:numPr>
                <w:ilvl w:val="0"/>
                <w:numId w:val="4"/>
              </w:numPr>
              <w:rPr>
                <w:rFonts w:ascii="Arial" w:eastAsia="Times New Roman" w:hAnsi="Arial" w:cs="Arial"/>
                <w:sz w:val="20"/>
                <w:szCs w:val="20"/>
                <w:lang w:val="el-GR" w:eastAsia="en-GB"/>
              </w:rPr>
            </w:pPr>
            <w:r w:rsidRPr="00E92AA4">
              <w:rPr>
                <w:rFonts w:ascii="Arial" w:eastAsia="Times New Roman" w:hAnsi="Arial" w:cs="Arial"/>
                <w:sz w:val="20"/>
                <w:szCs w:val="20"/>
                <w:lang w:eastAsia="en-GB"/>
              </w:rPr>
              <w:t>I</w:t>
            </w:r>
            <w:r w:rsidRPr="00E92AA4">
              <w:rPr>
                <w:rFonts w:ascii="Arial" w:eastAsia="Times New Roman" w:hAnsi="Arial" w:cs="Arial"/>
                <w:sz w:val="20"/>
                <w:szCs w:val="20"/>
                <w:lang w:val="el-GR" w:eastAsia="en-GB"/>
              </w:rPr>
              <w:t>ΡΛΑΝΔΙΑ</w:t>
            </w:r>
          </w:p>
        </w:tc>
        <w:tc>
          <w:tcPr>
            <w:tcW w:w="3783" w:type="dxa"/>
            <w:noWrap/>
            <w:hideMark/>
          </w:tcPr>
          <w:p w:rsidR="00574C09" w:rsidRPr="00AC4F24" w:rsidRDefault="00574C09" w:rsidP="00574C0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l-GR" w:eastAsia="en-GB"/>
              </w:rPr>
            </w:pPr>
            <w:r>
              <w:rPr>
                <w:rFonts w:ascii="Arial" w:eastAsia="Times New Roman" w:hAnsi="Arial" w:cs="Arial"/>
                <w:sz w:val="20"/>
                <w:szCs w:val="20"/>
                <w:lang w:eastAsia="en-GB"/>
              </w:rPr>
              <w:t>7</w:t>
            </w:r>
          </w:p>
        </w:tc>
      </w:tr>
      <w:tr w:rsidR="00574C09" w:rsidRPr="00AC4F24" w:rsidTr="00574C0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6158" w:type="dxa"/>
            <w:noWrap/>
            <w:hideMark/>
          </w:tcPr>
          <w:p w:rsidR="00574C09" w:rsidRPr="00E92AA4" w:rsidRDefault="00574C09" w:rsidP="00574C09">
            <w:pPr>
              <w:pStyle w:val="ListParagraph"/>
              <w:numPr>
                <w:ilvl w:val="0"/>
                <w:numId w:val="4"/>
              </w:numPr>
              <w:rPr>
                <w:rFonts w:ascii="Arial" w:eastAsia="Times New Roman" w:hAnsi="Arial" w:cs="Arial"/>
                <w:sz w:val="20"/>
                <w:szCs w:val="20"/>
                <w:lang w:val="el-GR" w:eastAsia="en-GB"/>
              </w:rPr>
            </w:pPr>
            <w:r w:rsidRPr="00E92AA4">
              <w:rPr>
                <w:rFonts w:ascii="Arial" w:eastAsia="Times New Roman" w:hAnsi="Arial" w:cs="Arial"/>
                <w:sz w:val="20"/>
                <w:szCs w:val="20"/>
                <w:lang w:val="el-GR" w:eastAsia="en-GB"/>
              </w:rPr>
              <w:t>ΟΥΓΓΑΡΙΑ</w:t>
            </w:r>
          </w:p>
        </w:tc>
        <w:tc>
          <w:tcPr>
            <w:tcW w:w="3783" w:type="dxa"/>
            <w:noWrap/>
            <w:hideMark/>
          </w:tcPr>
          <w:p w:rsidR="00574C09" w:rsidRPr="00AC4F24" w:rsidRDefault="00574C09" w:rsidP="00574C0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l-GR" w:eastAsia="en-GB"/>
              </w:rPr>
            </w:pPr>
            <w:r>
              <w:rPr>
                <w:rFonts w:ascii="Arial" w:eastAsia="Times New Roman" w:hAnsi="Arial" w:cs="Arial"/>
                <w:sz w:val="20"/>
                <w:szCs w:val="20"/>
                <w:lang w:eastAsia="en-GB"/>
              </w:rPr>
              <w:t>5</w:t>
            </w:r>
          </w:p>
        </w:tc>
      </w:tr>
      <w:tr w:rsidR="00574C09" w:rsidRPr="00AC4F24" w:rsidTr="00574C09">
        <w:trPr>
          <w:trHeight w:val="305"/>
        </w:trPr>
        <w:tc>
          <w:tcPr>
            <w:cnfStyle w:val="001000000000" w:firstRow="0" w:lastRow="0" w:firstColumn="1" w:lastColumn="0" w:oddVBand="0" w:evenVBand="0" w:oddHBand="0" w:evenHBand="0" w:firstRowFirstColumn="0" w:firstRowLastColumn="0" w:lastRowFirstColumn="0" w:lastRowLastColumn="0"/>
            <w:tcW w:w="6158" w:type="dxa"/>
            <w:noWrap/>
            <w:hideMark/>
          </w:tcPr>
          <w:p w:rsidR="00574C09" w:rsidRPr="00E92AA4" w:rsidRDefault="00574C09" w:rsidP="00574C09">
            <w:pPr>
              <w:pStyle w:val="ListParagraph"/>
              <w:numPr>
                <w:ilvl w:val="0"/>
                <w:numId w:val="4"/>
              </w:numPr>
              <w:rPr>
                <w:rFonts w:ascii="Arial" w:eastAsia="Times New Roman" w:hAnsi="Arial" w:cs="Arial"/>
                <w:sz w:val="20"/>
                <w:szCs w:val="20"/>
                <w:lang w:val="el-GR" w:eastAsia="en-GB"/>
              </w:rPr>
            </w:pPr>
            <w:r w:rsidRPr="00E92AA4">
              <w:rPr>
                <w:rFonts w:ascii="Arial" w:eastAsia="Times New Roman" w:hAnsi="Arial" w:cs="Arial"/>
                <w:sz w:val="20"/>
                <w:szCs w:val="20"/>
                <w:lang w:eastAsia="en-GB"/>
              </w:rPr>
              <w:t>MA</w:t>
            </w:r>
            <w:r w:rsidRPr="00E92AA4">
              <w:rPr>
                <w:rFonts w:ascii="Arial" w:eastAsia="Times New Roman" w:hAnsi="Arial" w:cs="Arial"/>
                <w:sz w:val="20"/>
                <w:szCs w:val="20"/>
                <w:lang w:val="el-GR" w:eastAsia="en-GB"/>
              </w:rPr>
              <w:t>ΛΤΑ</w:t>
            </w:r>
          </w:p>
        </w:tc>
        <w:tc>
          <w:tcPr>
            <w:tcW w:w="3783" w:type="dxa"/>
            <w:noWrap/>
            <w:hideMark/>
          </w:tcPr>
          <w:p w:rsidR="00574C09" w:rsidRPr="00AC4F24" w:rsidRDefault="00574C09" w:rsidP="00574C0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l-GR" w:eastAsia="en-GB"/>
              </w:rPr>
            </w:pPr>
            <w:r>
              <w:rPr>
                <w:rFonts w:ascii="Arial" w:eastAsia="Times New Roman" w:hAnsi="Arial" w:cs="Arial"/>
                <w:sz w:val="20"/>
                <w:szCs w:val="20"/>
                <w:lang w:eastAsia="en-GB"/>
              </w:rPr>
              <w:t>1</w:t>
            </w:r>
          </w:p>
        </w:tc>
      </w:tr>
      <w:tr w:rsidR="00574C09" w:rsidRPr="00AC4F24" w:rsidTr="00574C0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6158" w:type="dxa"/>
            <w:noWrap/>
            <w:hideMark/>
          </w:tcPr>
          <w:p w:rsidR="00574C09" w:rsidRPr="00E92AA4" w:rsidRDefault="00574C09" w:rsidP="00574C09">
            <w:pPr>
              <w:pStyle w:val="ListParagraph"/>
              <w:numPr>
                <w:ilvl w:val="0"/>
                <w:numId w:val="4"/>
              </w:numPr>
              <w:rPr>
                <w:rFonts w:ascii="Arial" w:eastAsia="Times New Roman" w:hAnsi="Arial" w:cs="Arial"/>
                <w:sz w:val="20"/>
                <w:szCs w:val="20"/>
                <w:lang w:val="el-GR" w:eastAsia="en-GB"/>
              </w:rPr>
            </w:pPr>
            <w:r w:rsidRPr="00E92AA4">
              <w:rPr>
                <w:rFonts w:ascii="Arial" w:eastAsia="Times New Roman" w:hAnsi="Arial" w:cs="Arial"/>
                <w:sz w:val="20"/>
                <w:szCs w:val="20"/>
                <w:lang w:val="el-GR" w:eastAsia="en-GB"/>
              </w:rPr>
              <w:t>ΛΟΥΞΕΜΒΟΥΡΓΟ</w:t>
            </w:r>
          </w:p>
        </w:tc>
        <w:tc>
          <w:tcPr>
            <w:tcW w:w="3783" w:type="dxa"/>
            <w:noWrap/>
            <w:hideMark/>
          </w:tcPr>
          <w:p w:rsidR="00574C09" w:rsidRPr="00AC4F24" w:rsidRDefault="00574C09" w:rsidP="00574C0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l-GR" w:eastAsia="en-GB"/>
              </w:rPr>
            </w:pPr>
            <w:r>
              <w:rPr>
                <w:rFonts w:ascii="Arial" w:eastAsia="Times New Roman" w:hAnsi="Arial" w:cs="Arial"/>
                <w:sz w:val="20"/>
                <w:szCs w:val="20"/>
                <w:lang w:val="el-GR" w:eastAsia="en-GB"/>
              </w:rPr>
              <w:t>0,4</w:t>
            </w:r>
          </w:p>
        </w:tc>
      </w:tr>
    </w:tbl>
    <w:p w:rsidR="00574C09" w:rsidRDefault="00835262" w:rsidP="00574C09">
      <w:pPr>
        <w:jc w:val="both"/>
        <w:rPr>
          <w:rFonts w:asciiTheme="minorHAnsi" w:hAnsiTheme="minorHAnsi"/>
        </w:rPr>
      </w:pPr>
      <w:r w:rsidRPr="00574C09">
        <w:rPr>
          <w:rFonts w:asciiTheme="minorHAnsi" w:hAnsiTheme="minorHAnsi"/>
        </w:rPr>
        <w:t>H Ολλανδία βρίσκεται στην 14</w:t>
      </w:r>
      <w:r w:rsidRPr="00574C09">
        <w:rPr>
          <w:rFonts w:asciiTheme="minorHAnsi" w:hAnsiTheme="minorHAnsi"/>
          <w:vertAlign w:val="superscript"/>
        </w:rPr>
        <w:t>η</w:t>
      </w:r>
      <w:r w:rsidRPr="00574C09">
        <w:rPr>
          <w:rFonts w:asciiTheme="minorHAnsi" w:hAnsiTheme="minorHAnsi"/>
        </w:rPr>
        <w:t xml:space="preserve"> θέση  με 131 τόνους παρθένου ελαιολάδου να έχουν εισαχθεί από την Ελλάδα το 2014, ενώ τις πρώτες θέσεις καταλαμβάνουν οι </w:t>
      </w:r>
      <w:r w:rsidR="00574C09" w:rsidRPr="00574C09">
        <w:rPr>
          <w:rFonts w:asciiTheme="minorHAnsi" w:hAnsiTheme="minorHAnsi"/>
        </w:rPr>
        <w:t>Ιταλία, Γε</w:t>
      </w:r>
      <w:r w:rsidR="00574C09">
        <w:rPr>
          <w:rFonts w:asciiTheme="minorHAnsi" w:hAnsiTheme="minorHAnsi"/>
        </w:rPr>
        <w:t>ρμανία και η Αυστρία</w:t>
      </w:r>
      <w:r w:rsidR="00574C09" w:rsidRPr="00574C09">
        <w:rPr>
          <w:rFonts w:asciiTheme="minorHAnsi" w:hAnsiTheme="minorHAnsi"/>
        </w:rPr>
        <w:t>.</w:t>
      </w:r>
    </w:p>
    <w:p w:rsidR="00835262" w:rsidRPr="0027648A" w:rsidRDefault="00835262" w:rsidP="00835262">
      <w:pPr>
        <w:ind w:firstLine="720"/>
      </w:pPr>
    </w:p>
    <w:p w:rsidR="00835262" w:rsidRPr="00574C09" w:rsidRDefault="00835262" w:rsidP="00835262">
      <w:pPr>
        <w:jc w:val="both"/>
        <w:rPr>
          <w:rFonts w:asciiTheme="minorHAnsi" w:hAnsiTheme="minorHAnsi"/>
          <w:i/>
          <w:sz w:val="20"/>
          <w:szCs w:val="24"/>
        </w:rPr>
      </w:pPr>
      <w:r w:rsidRPr="00574C09">
        <w:rPr>
          <w:rFonts w:asciiTheme="minorHAnsi" w:hAnsiTheme="minorHAnsi"/>
          <w:i/>
          <w:sz w:val="20"/>
          <w:szCs w:val="24"/>
        </w:rPr>
        <w:t xml:space="preserve">Πηγή: </w:t>
      </w:r>
      <w:proofErr w:type="spellStart"/>
      <w:r w:rsidRPr="00574C09">
        <w:rPr>
          <w:rFonts w:asciiTheme="minorHAnsi" w:hAnsiTheme="minorHAnsi"/>
          <w:i/>
          <w:sz w:val="20"/>
          <w:szCs w:val="24"/>
        </w:rPr>
        <w:t>Eurostat</w:t>
      </w:r>
      <w:proofErr w:type="spellEnd"/>
      <w:r w:rsidRPr="00574C09">
        <w:rPr>
          <w:rFonts w:asciiTheme="minorHAnsi" w:hAnsiTheme="minorHAnsi"/>
          <w:i/>
          <w:sz w:val="20"/>
          <w:szCs w:val="24"/>
        </w:rPr>
        <w:t xml:space="preserve"> </w:t>
      </w:r>
    </w:p>
    <w:p w:rsidR="00835262" w:rsidRPr="00E92AA4" w:rsidRDefault="00835262" w:rsidP="00835262">
      <w:pPr>
        <w:jc w:val="both"/>
        <w:rPr>
          <w:szCs w:val="24"/>
        </w:rPr>
      </w:pPr>
    </w:p>
    <w:p w:rsidR="00574C09" w:rsidRPr="00574C09" w:rsidRDefault="00574C09" w:rsidP="00574C09">
      <w:pPr>
        <w:ind w:firstLine="720"/>
        <w:jc w:val="center"/>
        <w:rPr>
          <w:rFonts w:asciiTheme="minorHAnsi" w:hAnsiTheme="minorHAnsi"/>
          <w:b/>
          <w:color w:val="4F81BD" w:themeColor="accent1"/>
        </w:rPr>
      </w:pPr>
      <w:r>
        <w:rPr>
          <w:rFonts w:asciiTheme="minorHAnsi" w:hAnsiTheme="minorHAnsi"/>
          <w:b/>
          <w:color w:val="4F81BD" w:themeColor="accent1"/>
        </w:rPr>
        <w:lastRenderedPageBreak/>
        <w:t>Πίνακας 3</w:t>
      </w:r>
      <w:r w:rsidRPr="00574C09">
        <w:rPr>
          <w:rFonts w:asciiTheme="minorHAnsi" w:hAnsiTheme="minorHAnsi"/>
          <w:b/>
          <w:color w:val="4F81BD" w:themeColor="accent1"/>
        </w:rPr>
        <w:t>:  Ολλανδικές εισαγωγές παρθένου ελαιολάδου από κράτη-μέλη της Ε.Ε. (σε 1000kg)</w:t>
      </w:r>
    </w:p>
    <w:p w:rsidR="00835262" w:rsidRPr="00574C09" w:rsidRDefault="00835262" w:rsidP="00574C09">
      <w:pPr>
        <w:jc w:val="both"/>
        <w:rPr>
          <w:rFonts w:asciiTheme="minorHAnsi" w:hAnsiTheme="minorHAnsi"/>
        </w:rPr>
      </w:pPr>
      <w:r w:rsidRPr="00574C09">
        <w:rPr>
          <w:rFonts w:asciiTheme="minorHAnsi" w:hAnsiTheme="minorHAnsi"/>
        </w:rPr>
        <w:t xml:space="preserve">Ακολουθεί πίνακας  με τις Ολλανδικές εισαγωγές λαδιού από κράτη μέλη της Ε.Ε. κατά την ίδια περίοδο, Ιανουάριος-Δεκέμβριος 2014. </w:t>
      </w:r>
      <w:r w:rsidRPr="00574C09">
        <w:rPr>
          <w:rFonts w:asciiTheme="minorHAnsi" w:hAnsiTheme="minorHAnsi"/>
          <w:szCs w:val="24"/>
        </w:rPr>
        <w:t>H Ελλάδα αποτελεί τον 6</w:t>
      </w:r>
      <w:r w:rsidRPr="00574C09">
        <w:rPr>
          <w:rFonts w:asciiTheme="minorHAnsi" w:hAnsiTheme="minorHAnsi"/>
          <w:szCs w:val="24"/>
          <w:vertAlign w:val="superscript"/>
        </w:rPr>
        <w:t>ο</w:t>
      </w:r>
      <w:r w:rsidRPr="00574C09">
        <w:rPr>
          <w:rFonts w:asciiTheme="minorHAnsi" w:hAnsiTheme="minorHAnsi"/>
          <w:szCs w:val="24"/>
        </w:rPr>
        <w:t xml:space="preserve"> μεγαλύτερο προμηθευτή παρθένου ελαιολάδου για την αγορά της Ολλανδίας, με 131 τόνους να έχουν εισαχθεί στην Ολλανδία από</w:t>
      </w:r>
      <w:r w:rsidR="00574C09">
        <w:rPr>
          <w:rFonts w:asciiTheme="minorHAnsi" w:hAnsiTheme="minorHAnsi"/>
          <w:szCs w:val="24"/>
        </w:rPr>
        <w:t xml:space="preserve"> την Ελλάδα, το 2014</w:t>
      </w:r>
      <w:r w:rsidRPr="00574C09">
        <w:rPr>
          <w:rFonts w:asciiTheme="minorHAnsi" w:hAnsiTheme="minorHAnsi"/>
          <w:szCs w:val="24"/>
        </w:rPr>
        <w:t xml:space="preserve">. </w:t>
      </w:r>
    </w:p>
    <w:p w:rsidR="00835262" w:rsidRPr="00D105E0" w:rsidRDefault="00835262" w:rsidP="00835262">
      <w:pPr>
        <w:pStyle w:val="Heading2"/>
        <w:jc w:val="center"/>
        <w:rPr>
          <w:lang w:val="el-GR"/>
        </w:rPr>
      </w:pPr>
    </w:p>
    <w:tbl>
      <w:tblPr>
        <w:tblStyle w:val="LightShading"/>
        <w:tblW w:w="9141" w:type="dxa"/>
        <w:tblLook w:val="04A0" w:firstRow="1" w:lastRow="0" w:firstColumn="1" w:lastColumn="0" w:noHBand="0" w:noVBand="1"/>
      </w:tblPr>
      <w:tblGrid>
        <w:gridCol w:w="5662"/>
        <w:gridCol w:w="3479"/>
      </w:tblGrid>
      <w:tr w:rsidR="00835262" w:rsidRPr="001269B8" w:rsidTr="00835262">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662" w:type="dxa"/>
            <w:noWrap/>
            <w:hideMark/>
          </w:tcPr>
          <w:p w:rsidR="00835262" w:rsidRPr="00D105E0" w:rsidRDefault="00835262" w:rsidP="00835262">
            <w:pPr>
              <w:pStyle w:val="ListParagraph"/>
              <w:numPr>
                <w:ilvl w:val="0"/>
                <w:numId w:val="5"/>
              </w:numPr>
              <w:rPr>
                <w:rFonts w:ascii="Arial" w:eastAsia="Times New Roman" w:hAnsi="Arial" w:cs="Arial"/>
                <w:sz w:val="20"/>
                <w:szCs w:val="20"/>
                <w:lang w:val="el-GR" w:eastAsia="en-GB"/>
              </w:rPr>
            </w:pPr>
            <w:r w:rsidRPr="00D105E0">
              <w:rPr>
                <w:rFonts w:ascii="Arial" w:eastAsia="Times New Roman" w:hAnsi="Arial" w:cs="Arial"/>
                <w:sz w:val="20"/>
                <w:szCs w:val="20"/>
                <w:lang w:val="el-GR" w:eastAsia="en-GB"/>
              </w:rPr>
              <w:t>ΙΣΠΑΝΙΑ</w:t>
            </w:r>
          </w:p>
        </w:tc>
        <w:tc>
          <w:tcPr>
            <w:tcW w:w="3479" w:type="dxa"/>
            <w:noWrap/>
            <w:hideMark/>
          </w:tcPr>
          <w:p w:rsidR="00835262" w:rsidRPr="001269B8" w:rsidRDefault="00835262" w:rsidP="00835262">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l-GR" w:eastAsia="en-GB"/>
              </w:rPr>
            </w:pPr>
            <w:r>
              <w:rPr>
                <w:rFonts w:ascii="Arial" w:eastAsia="Times New Roman" w:hAnsi="Arial" w:cs="Arial"/>
                <w:sz w:val="20"/>
                <w:szCs w:val="20"/>
                <w:lang w:eastAsia="en-GB"/>
              </w:rPr>
              <w:t>6</w:t>
            </w:r>
            <w:r>
              <w:rPr>
                <w:rFonts w:ascii="Arial" w:eastAsia="Times New Roman" w:hAnsi="Arial" w:cs="Arial"/>
                <w:sz w:val="20"/>
                <w:szCs w:val="20"/>
                <w:lang w:val="el-GR" w:eastAsia="en-GB"/>
              </w:rPr>
              <w:t>.</w:t>
            </w:r>
            <w:r>
              <w:rPr>
                <w:rFonts w:ascii="Arial" w:eastAsia="Times New Roman" w:hAnsi="Arial" w:cs="Arial"/>
                <w:sz w:val="20"/>
                <w:szCs w:val="20"/>
                <w:lang w:eastAsia="en-GB"/>
              </w:rPr>
              <w:t>37</w:t>
            </w:r>
            <w:r>
              <w:rPr>
                <w:rFonts w:ascii="Arial" w:eastAsia="Times New Roman" w:hAnsi="Arial" w:cs="Arial"/>
                <w:sz w:val="20"/>
                <w:szCs w:val="20"/>
                <w:lang w:val="el-GR" w:eastAsia="en-GB"/>
              </w:rPr>
              <w:t>8</w:t>
            </w:r>
          </w:p>
        </w:tc>
      </w:tr>
      <w:tr w:rsidR="00835262" w:rsidRPr="001269B8" w:rsidTr="00835262">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662" w:type="dxa"/>
            <w:noWrap/>
            <w:hideMark/>
          </w:tcPr>
          <w:p w:rsidR="00835262" w:rsidRPr="00D105E0" w:rsidRDefault="00835262" w:rsidP="00835262">
            <w:pPr>
              <w:pStyle w:val="ListParagraph"/>
              <w:numPr>
                <w:ilvl w:val="0"/>
                <w:numId w:val="5"/>
              </w:numPr>
              <w:rPr>
                <w:rFonts w:ascii="Arial" w:eastAsia="Times New Roman" w:hAnsi="Arial" w:cs="Arial"/>
                <w:sz w:val="20"/>
                <w:szCs w:val="20"/>
                <w:lang w:eastAsia="en-GB"/>
              </w:rPr>
            </w:pPr>
            <w:r w:rsidRPr="00D105E0">
              <w:rPr>
                <w:rFonts w:ascii="Arial" w:eastAsia="Times New Roman" w:hAnsi="Arial" w:cs="Arial"/>
                <w:sz w:val="20"/>
                <w:szCs w:val="20"/>
                <w:lang w:eastAsia="en-GB"/>
              </w:rPr>
              <w:t>IT</w:t>
            </w:r>
            <w:r w:rsidRPr="00D105E0">
              <w:rPr>
                <w:rFonts w:ascii="Arial" w:eastAsia="Times New Roman" w:hAnsi="Arial" w:cs="Arial"/>
                <w:sz w:val="20"/>
                <w:szCs w:val="20"/>
                <w:lang w:val="el-GR" w:eastAsia="en-GB"/>
              </w:rPr>
              <w:t>ΑΛΙΑ</w:t>
            </w:r>
          </w:p>
        </w:tc>
        <w:tc>
          <w:tcPr>
            <w:tcW w:w="3479" w:type="dxa"/>
            <w:noWrap/>
            <w:hideMark/>
          </w:tcPr>
          <w:p w:rsidR="00835262" w:rsidRPr="001269B8" w:rsidRDefault="00835262" w:rsidP="0083526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l-GR" w:eastAsia="en-GB"/>
              </w:rPr>
            </w:pPr>
            <w:r>
              <w:rPr>
                <w:rFonts w:ascii="Arial" w:eastAsia="Times New Roman" w:hAnsi="Arial" w:cs="Arial"/>
                <w:sz w:val="20"/>
                <w:szCs w:val="20"/>
                <w:lang w:eastAsia="en-GB"/>
              </w:rPr>
              <w:t>2</w:t>
            </w:r>
            <w:r>
              <w:rPr>
                <w:rFonts w:ascii="Arial" w:eastAsia="Times New Roman" w:hAnsi="Arial" w:cs="Arial"/>
                <w:sz w:val="20"/>
                <w:szCs w:val="20"/>
                <w:lang w:val="el-GR" w:eastAsia="en-GB"/>
              </w:rPr>
              <w:t>.</w:t>
            </w:r>
            <w:r>
              <w:rPr>
                <w:rFonts w:ascii="Arial" w:eastAsia="Times New Roman" w:hAnsi="Arial" w:cs="Arial"/>
                <w:sz w:val="20"/>
                <w:szCs w:val="20"/>
                <w:lang w:eastAsia="en-GB"/>
              </w:rPr>
              <w:t>169</w:t>
            </w:r>
          </w:p>
        </w:tc>
      </w:tr>
      <w:tr w:rsidR="00835262" w:rsidRPr="001269B8" w:rsidTr="00835262">
        <w:trPr>
          <w:trHeight w:val="264"/>
        </w:trPr>
        <w:tc>
          <w:tcPr>
            <w:cnfStyle w:val="001000000000" w:firstRow="0" w:lastRow="0" w:firstColumn="1" w:lastColumn="0" w:oddVBand="0" w:evenVBand="0" w:oddHBand="0" w:evenHBand="0" w:firstRowFirstColumn="0" w:firstRowLastColumn="0" w:lastRowFirstColumn="0" w:lastRowLastColumn="0"/>
            <w:tcW w:w="5662" w:type="dxa"/>
            <w:noWrap/>
            <w:hideMark/>
          </w:tcPr>
          <w:p w:rsidR="00835262" w:rsidRPr="00D105E0" w:rsidRDefault="00835262" w:rsidP="00835262">
            <w:pPr>
              <w:pStyle w:val="ListParagraph"/>
              <w:numPr>
                <w:ilvl w:val="0"/>
                <w:numId w:val="5"/>
              </w:numPr>
              <w:rPr>
                <w:rFonts w:ascii="Arial" w:eastAsia="Times New Roman" w:hAnsi="Arial" w:cs="Arial"/>
                <w:sz w:val="20"/>
                <w:szCs w:val="20"/>
                <w:lang w:val="el-GR" w:eastAsia="en-GB"/>
              </w:rPr>
            </w:pPr>
            <w:r w:rsidRPr="00D105E0">
              <w:rPr>
                <w:rFonts w:ascii="Arial" w:eastAsia="Times New Roman" w:hAnsi="Arial" w:cs="Arial"/>
                <w:sz w:val="20"/>
                <w:szCs w:val="20"/>
                <w:lang w:val="el-GR" w:eastAsia="en-GB"/>
              </w:rPr>
              <w:t>ΓΕΡΜΑΝΙΑ</w:t>
            </w:r>
          </w:p>
        </w:tc>
        <w:tc>
          <w:tcPr>
            <w:tcW w:w="3479" w:type="dxa"/>
            <w:noWrap/>
            <w:hideMark/>
          </w:tcPr>
          <w:p w:rsidR="00835262" w:rsidRPr="001269B8" w:rsidRDefault="00835262" w:rsidP="0083526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l-GR" w:eastAsia="en-GB"/>
              </w:rPr>
            </w:pPr>
            <w:r>
              <w:rPr>
                <w:rFonts w:ascii="Arial" w:eastAsia="Times New Roman" w:hAnsi="Arial" w:cs="Arial"/>
                <w:sz w:val="20"/>
                <w:szCs w:val="20"/>
                <w:lang w:eastAsia="en-GB"/>
              </w:rPr>
              <w:t>1</w:t>
            </w:r>
            <w:r>
              <w:rPr>
                <w:rFonts w:ascii="Arial" w:eastAsia="Times New Roman" w:hAnsi="Arial" w:cs="Arial"/>
                <w:sz w:val="20"/>
                <w:szCs w:val="20"/>
                <w:lang w:val="el-GR" w:eastAsia="en-GB"/>
              </w:rPr>
              <w:t>.</w:t>
            </w:r>
            <w:r>
              <w:rPr>
                <w:rFonts w:ascii="Arial" w:eastAsia="Times New Roman" w:hAnsi="Arial" w:cs="Arial"/>
                <w:sz w:val="20"/>
                <w:szCs w:val="20"/>
                <w:lang w:eastAsia="en-GB"/>
              </w:rPr>
              <w:t>005</w:t>
            </w:r>
          </w:p>
        </w:tc>
      </w:tr>
      <w:tr w:rsidR="00835262" w:rsidRPr="001269B8" w:rsidTr="00835262">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662" w:type="dxa"/>
            <w:noWrap/>
            <w:hideMark/>
          </w:tcPr>
          <w:p w:rsidR="00835262" w:rsidRPr="00D105E0" w:rsidRDefault="00835262" w:rsidP="00835262">
            <w:pPr>
              <w:pStyle w:val="ListParagraph"/>
              <w:numPr>
                <w:ilvl w:val="0"/>
                <w:numId w:val="5"/>
              </w:numPr>
              <w:rPr>
                <w:rFonts w:ascii="Arial" w:eastAsia="Times New Roman" w:hAnsi="Arial" w:cs="Arial"/>
                <w:sz w:val="20"/>
                <w:szCs w:val="20"/>
                <w:lang w:val="el-GR" w:eastAsia="en-GB"/>
              </w:rPr>
            </w:pPr>
            <w:r w:rsidRPr="00D105E0">
              <w:rPr>
                <w:rFonts w:ascii="Arial" w:eastAsia="Times New Roman" w:hAnsi="Arial" w:cs="Arial"/>
                <w:sz w:val="20"/>
                <w:szCs w:val="20"/>
                <w:lang w:val="el-GR" w:eastAsia="en-GB"/>
              </w:rPr>
              <w:t>ΒΕΛΓΙΟ</w:t>
            </w:r>
          </w:p>
        </w:tc>
        <w:tc>
          <w:tcPr>
            <w:tcW w:w="3479" w:type="dxa"/>
            <w:noWrap/>
            <w:hideMark/>
          </w:tcPr>
          <w:p w:rsidR="00835262" w:rsidRPr="001269B8" w:rsidRDefault="00835262" w:rsidP="0083526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l-GR" w:eastAsia="en-GB"/>
              </w:rPr>
            </w:pPr>
            <w:r>
              <w:rPr>
                <w:rFonts w:ascii="Arial" w:eastAsia="Times New Roman" w:hAnsi="Arial" w:cs="Arial"/>
                <w:sz w:val="20"/>
                <w:szCs w:val="20"/>
                <w:lang w:eastAsia="en-GB"/>
              </w:rPr>
              <w:t>393</w:t>
            </w:r>
          </w:p>
        </w:tc>
      </w:tr>
      <w:tr w:rsidR="00835262" w:rsidRPr="001269B8" w:rsidTr="00835262">
        <w:trPr>
          <w:trHeight w:val="264"/>
        </w:trPr>
        <w:tc>
          <w:tcPr>
            <w:cnfStyle w:val="001000000000" w:firstRow="0" w:lastRow="0" w:firstColumn="1" w:lastColumn="0" w:oddVBand="0" w:evenVBand="0" w:oddHBand="0" w:evenHBand="0" w:firstRowFirstColumn="0" w:firstRowLastColumn="0" w:lastRowFirstColumn="0" w:lastRowLastColumn="0"/>
            <w:tcW w:w="5662" w:type="dxa"/>
            <w:noWrap/>
            <w:hideMark/>
          </w:tcPr>
          <w:p w:rsidR="00835262" w:rsidRPr="00D105E0" w:rsidRDefault="00835262" w:rsidP="00835262">
            <w:pPr>
              <w:pStyle w:val="ListParagraph"/>
              <w:numPr>
                <w:ilvl w:val="0"/>
                <w:numId w:val="5"/>
              </w:numPr>
              <w:rPr>
                <w:rFonts w:ascii="Arial" w:eastAsia="Times New Roman" w:hAnsi="Arial" w:cs="Arial"/>
                <w:sz w:val="20"/>
                <w:szCs w:val="20"/>
                <w:lang w:val="el-GR" w:eastAsia="en-GB"/>
              </w:rPr>
            </w:pPr>
            <w:r w:rsidRPr="00D105E0">
              <w:rPr>
                <w:rFonts w:ascii="Arial" w:eastAsia="Times New Roman" w:hAnsi="Arial" w:cs="Arial"/>
                <w:sz w:val="20"/>
                <w:szCs w:val="20"/>
                <w:lang w:val="el-GR" w:eastAsia="en-GB"/>
              </w:rPr>
              <w:t>ΠΟΡΤΟΓΑΛΙΑ</w:t>
            </w:r>
          </w:p>
        </w:tc>
        <w:tc>
          <w:tcPr>
            <w:tcW w:w="3479" w:type="dxa"/>
            <w:noWrap/>
            <w:hideMark/>
          </w:tcPr>
          <w:p w:rsidR="00835262" w:rsidRPr="001269B8" w:rsidRDefault="00835262" w:rsidP="0083526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l-GR" w:eastAsia="en-GB"/>
              </w:rPr>
            </w:pPr>
            <w:r>
              <w:rPr>
                <w:rFonts w:ascii="Arial" w:eastAsia="Times New Roman" w:hAnsi="Arial" w:cs="Arial"/>
                <w:sz w:val="20"/>
                <w:szCs w:val="20"/>
                <w:lang w:eastAsia="en-GB"/>
              </w:rPr>
              <w:t>28</w:t>
            </w:r>
            <w:r>
              <w:rPr>
                <w:rFonts w:ascii="Arial" w:eastAsia="Times New Roman" w:hAnsi="Arial" w:cs="Arial"/>
                <w:sz w:val="20"/>
                <w:szCs w:val="20"/>
                <w:lang w:val="el-GR" w:eastAsia="en-GB"/>
              </w:rPr>
              <w:t>5</w:t>
            </w:r>
          </w:p>
        </w:tc>
      </w:tr>
      <w:tr w:rsidR="00835262" w:rsidRPr="001269B8" w:rsidTr="00835262">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662" w:type="dxa"/>
            <w:noWrap/>
            <w:hideMark/>
          </w:tcPr>
          <w:p w:rsidR="00835262" w:rsidRPr="00D105E0" w:rsidRDefault="00835262" w:rsidP="00835262">
            <w:pPr>
              <w:pStyle w:val="ListParagraph"/>
              <w:numPr>
                <w:ilvl w:val="0"/>
                <w:numId w:val="5"/>
              </w:numPr>
              <w:rPr>
                <w:rFonts w:ascii="Arial" w:eastAsia="Times New Roman" w:hAnsi="Arial" w:cs="Arial"/>
                <w:sz w:val="20"/>
                <w:szCs w:val="20"/>
                <w:lang w:val="el-GR" w:eastAsia="en-GB"/>
              </w:rPr>
            </w:pPr>
            <w:r w:rsidRPr="00D105E0">
              <w:rPr>
                <w:rFonts w:ascii="Arial" w:eastAsia="Times New Roman" w:hAnsi="Arial" w:cs="Arial"/>
                <w:sz w:val="20"/>
                <w:szCs w:val="20"/>
                <w:lang w:val="el-GR" w:eastAsia="en-GB"/>
              </w:rPr>
              <w:t>ΕΛΛΑΔΑ</w:t>
            </w:r>
          </w:p>
        </w:tc>
        <w:tc>
          <w:tcPr>
            <w:tcW w:w="3479" w:type="dxa"/>
            <w:noWrap/>
            <w:hideMark/>
          </w:tcPr>
          <w:p w:rsidR="00835262" w:rsidRPr="001269B8" w:rsidRDefault="00835262" w:rsidP="0083526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l-GR" w:eastAsia="en-GB"/>
              </w:rPr>
            </w:pPr>
            <w:r>
              <w:rPr>
                <w:rFonts w:ascii="Arial" w:eastAsia="Times New Roman" w:hAnsi="Arial" w:cs="Arial"/>
                <w:sz w:val="20"/>
                <w:szCs w:val="20"/>
                <w:lang w:val="el-GR" w:eastAsia="en-GB"/>
              </w:rPr>
              <w:t>1</w:t>
            </w:r>
            <w:r>
              <w:rPr>
                <w:rFonts w:ascii="Arial" w:eastAsia="Times New Roman" w:hAnsi="Arial" w:cs="Arial"/>
                <w:sz w:val="20"/>
                <w:szCs w:val="20"/>
                <w:lang w:eastAsia="en-GB"/>
              </w:rPr>
              <w:t>31</w:t>
            </w:r>
          </w:p>
        </w:tc>
      </w:tr>
      <w:tr w:rsidR="00835262" w:rsidRPr="001269B8" w:rsidTr="00835262">
        <w:trPr>
          <w:trHeight w:val="264"/>
        </w:trPr>
        <w:tc>
          <w:tcPr>
            <w:cnfStyle w:val="001000000000" w:firstRow="0" w:lastRow="0" w:firstColumn="1" w:lastColumn="0" w:oddVBand="0" w:evenVBand="0" w:oddHBand="0" w:evenHBand="0" w:firstRowFirstColumn="0" w:firstRowLastColumn="0" w:lastRowFirstColumn="0" w:lastRowLastColumn="0"/>
            <w:tcW w:w="5662" w:type="dxa"/>
            <w:noWrap/>
            <w:hideMark/>
          </w:tcPr>
          <w:p w:rsidR="00835262" w:rsidRPr="00D105E0" w:rsidRDefault="00835262" w:rsidP="00835262">
            <w:pPr>
              <w:pStyle w:val="ListParagraph"/>
              <w:numPr>
                <w:ilvl w:val="0"/>
                <w:numId w:val="5"/>
              </w:numPr>
              <w:rPr>
                <w:rFonts w:ascii="Arial" w:eastAsia="Times New Roman" w:hAnsi="Arial" w:cs="Arial"/>
                <w:sz w:val="20"/>
                <w:szCs w:val="20"/>
                <w:lang w:val="el-GR" w:eastAsia="en-GB"/>
              </w:rPr>
            </w:pPr>
            <w:r w:rsidRPr="00D105E0">
              <w:rPr>
                <w:rFonts w:ascii="Arial" w:eastAsia="Times New Roman" w:hAnsi="Arial" w:cs="Arial"/>
                <w:sz w:val="20"/>
                <w:szCs w:val="20"/>
                <w:lang w:val="el-GR" w:eastAsia="en-GB"/>
              </w:rPr>
              <w:t>ΓΑΛΛΙΑ</w:t>
            </w:r>
          </w:p>
        </w:tc>
        <w:tc>
          <w:tcPr>
            <w:tcW w:w="3479" w:type="dxa"/>
            <w:noWrap/>
            <w:hideMark/>
          </w:tcPr>
          <w:p w:rsidR="00835262" w:rsidRPr="001269B8" w:rsidRDefault="00835262" w:rsidP="0083526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l-GR" w:eastAsia="en-GB"/>
              </w:rPr>
            </w:pPr>
            <w:r>
              <w:rPr>
                <w:rFonts w:ascii="Arial" w:eastAsia="Times New Roman" w:hAnsi="Arial" w:cs="Arial"/>
                <w:sz w:val="20"/>
                <w:szCs w:val="20"/>
                <w:lang w:eastAsia="en-GB"/>
              </w:rPr>
              <w:t>5</w:t>
            </w:r>
            <w:r>
              <w:rPr>
                <w:rFonts w:ascii="Arial" w:eastAsia="Times New Roman" w:hAnsi="Arial" w:cs="Arial"/>
                <w:sz w:val="20"/>
                <w:szCs w:val="20"/>
                <w:lang w:val="el-GR" w:eastAsia="en-GB"/>
              </w:rPr>
              <w:t>2</w:t>
            </w:r>
          </w:p>
        </w:tc>
      </w:tr>
      <w:tr w:rsidR="00835262" w:rsidRPr="001269B8" w:rsidTr="00835262">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662" w:type="dxa"/>
            <w:noWrap/>
            <w:hideMark/>
          </w:tcPr>
          <w:p w:rsidR="00835262" w:rsidRPr="00D105E0" w:rsidRDefault="00835262" w:rsidP="00835262">
            <w:pPr>
              <w:pStyle w:val="ListParagraph"/>
              <w:numPr>
                <w:ilvl w:val="0"/>
                <w:numId w:val="5"/>
              </w:numPr>
              <w:rPr>
                <w:rFonts w:ascii="Arial" w:eastAsia="Times New Roman" w:hAnsi="Arial" w:cs="Arial"/>
                <w:sz w:val="20"/>
                <w:szCs w:val="20"/>
                <w:lang w:eastAsia="en-GB"/>
              </w:rPr>
            </w:pPr>
            <w:r w:rsidRPr="00D105E0">
              <w:rPr>
                <w:rFonts w:ascii="Arial" w:eastAsia="Times New Roman" w:hAnsi="Arial" w:cs="Arial"/>
                <w:sz w:val="20"/>
                <w:szCs w:val="20"/>
                <w:lang w:val="el-GR" w:eastAsia="en-GB"/>
              </w:rPr>
              <w:t>ΗΝΩΜΕΝΟ ΒΑΣΙΛΕΙΟ</w:t>
            </w:r>
          </w:p>
        </w:tc>
        <w:tc>
          <w:tcPr>
            <w:tcW w:w="3479" w:type="dxa"/>
            <w:noWrap/>
            <w:hideMark/>
          </w:tcPr>
          <w:p w:rsidR="00835262" w:rsidRPr="001269B8" w:rsidRDefault="00835262" w:rsidP="0083526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l-GR" w:eastAsia="en-GB"/>
              </w:rPr>
            </w:pPr>
            <w:r w:rsidRPr="001269B8">
              <w:rPr>
                <w:rFonts w:ascii="Arial" w:eastAsia="Times New Roman" w:hAnsi="Arial" w:cs="Arial"/>
                <w:sz w:val="20"/>
                <w:szCs w:val="20"/>
                <w:lang w:eastAsia="en-GB"/>
              </w:rPr>
              <w:t>108</w:t>
            </w:r>
          </w:p>
        </w:tc>
      </w:tr>
      <w:tr w:rsidR="00835262" w:rsidRPr="001269B8" w:rsidTr="00835262">
        <w:trPr>
          <w:trHeight w:val="264"/>
        </w:trPr>
        <w:tc>
          <w:tcPr>
            <w:cnfStyle w:val="001000000000" w:firstRow="0" w:lastRow="0" w:firstColumn="1" w:lastColumn="0" w:oddVBand="0" w:evenVBand="0" w:oddHBand="0" w:evenHBand="0" w:firstRowFirstColumn="0" w:firstRowLastColumn="0" w:lastRowFirstColumn="0" w:lastRowLastColumn="0"/>
            <w:tcW w:w="5662" w:type="dxa"/>
            <w:noWrap/>
            <w:hideMark/>
          </w:tcPr>
          <w:p w:rsidR="00835262" w:rsidRPr="00D105E0" w:rsidRDefault="00835262" w:rsidP="00835262">
            <w:pPr>
              <w:pStyle w:val="ListParagraph"/>
              <w:numPr>
                <w:ilvl w:val="0"/>
                <w:numId w:val="5"/>
              </w:numPr>
              <w:rPr>
                <w:rFonts w:ascii="Arial" w:eastAsia="Times New Roman" w:hAnsi="Arial" w:cs="Arial"/>
                <w:sz w:val="20"/>
                <w:szCs w:val="20"/>
                <w:lang w:val="el-GR" w:eastAsia="en-GB"/>
              </w:rPr>
            </w:pPr>
            <w:r w:rsidRPr="00D105E0">
              <w:rPr>
                <w:rFonts w:ascii="Arial" w:eastAsia="Times New Roman" w:hAnsi="Arial" w:cs="Arial"/>
                <w:sz w:val="20"/>
                <w:szCs w:val="20"/>
                <w:lang w:val="el-GR" w:eastAsia="en-GB"/>
              </w:rPr>
              <w:t>ΟΥΓΓΑΡΙΑ</w:t>
            </w:r>
          </w:p>
        </w:tc>
        <w:tc>
          <w:tcPr>
            <w:tcW w:w="3479" w:type="dxa"/>
            <w:noWrap/>
            <w:hideMark/>
          </w:tcPr>
          <w:p w:rsidR="00835262" w:rsidRPr="001269B8" w:rsidRDefault="00835262" w:rsidP="0083526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l-GR" w:eastAsia="en-GB"/>
              </w:rPr>
            </w:pPr>
            <w:r>
              <w:rPr>
                <w:rFonts w:ascii="Arial" w:eastAsia="Times New Roman" w:hAnsi="Arial" w:cs="Arial"/>
                <w:sz w:val="20"/>
                <w:szCs w:val="20"/>
                <w:lang w:eastAsia="en-GB"/>
              </w:rPr>
              <w:t>4</w:t>
            </w:r>
            <w:r>
              <w:rPr>
                <w:rFonts w:ascii="Arial" w:eastAsia="Times New Roman" w:hAnsi="Arial" w:cs="Arial"/>
                <w:sz w:val="20"/>
                <w:szCs w:val="20"/>
                <w:lang w:val="el-GR" w:eastAsia="en-GB"/>
              </w:rPr>
              <w:t>,5</w:t>
            </w:r>
          </w:p>
        </w:tc>
      </w:tr>
      <w:tr w:rsidR="00835262" w:rsidRPr="001269B8" w:rsidTr="00835262">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662" w:type="dxa"/>
            <w:noWrap/>
            <w:hideMark/>
          </w:tcPr>
          <w:p w:rsidR="00835262" w:rsidRPr="00D105E0" w:rsidRDefault="00835262" w:rsidP="00835262">
            <w:pPr>
              <w:pStyle w:val="ListParagraph"/>
              <w:numPr>
                <w:ilvl w:val="0"/>
                <w:numId w:val="5"/>
              </w:numPr>
              <w:rPr>
                <w:rFonts w:ascii="Arial" w:eastAsia="Times New Roman" w:hAnsi="Arial" w:cs="Arial"/>
                <w:sz w:val="20"/>
                <w:szCs w:val="20"/>
                <w:lang w:val="el-GR" w:eastAsia="en-GB"/>
              </w:rPr>
            </w:pPr>
            <w:r w:rsidRPr="00D105E0">
              <w:rPr>
                <w:rFonts w:ascii="Arial" w:eastAsia="Times New Roman" w:hAnsi="Arial" w:cs="Arial"/>
                <w:sz w:val="20"/>
                <w:szCs w:val="20"/>
                <w:lang w:val="el-GR" w:eastAsia="en-GB"/>
              </w:rPr>
              <w:t>ΣΛΟΒΕΝΙΑ</w:t>
            </w:r>
          </w:p>
        </w:tc>
        <w:tc>
          <w:tcPr>
            <w:tcW w:w="3479" w:type="dxa"/>
            <w:noWrap/>
            <w:hideMark/>
          </w:tcPr>
          <w:p w:rsidR="00835262" w:rsidRPr="001269B8" w:rsidRDefault="00835262" w:rsidP="0083526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Pr>
                <w:rFonts w:ascii="Arial" w:eastAsia="Times New Roman" w:hAnsi="Arial" w:cs="Arial"/>
                <w:sz w:val="20"/>
                <w:szCs w:val="20"/>
                <w:lang w:val="el-GR" w:eastAsia="en-GB"/>
              </w:rPr>
              <w:t>0,</w:t>
            </w:r>
            <w:r w:rsidRPr="001269B8">
              <w:rPr>
                <w:rFonts w:ascii="Arial" w:eastAsia="Times New Roman" w:hAnsi="Arial" w:cs="Arial"/>
                <w:sz w:val="20"/>
                <w:szCs w:val="20"/>
                <w:lang w:eastAsia="en-GB"/>
              </w:rPr>
              <w:t>2</w:t>
            </w:r>
          </w:p>
        </w:tc>
      </w:tr>
      <w:tr w:rsidR="00835262" w:rsidRPr="001269B8" w:rsidTr="00835262">
        <w:trPr>
          <w:trHeight w:val="264"/>
        </w:trPr>
        <w:tc>
          <w:tcPr>
            <w:cnfStyle w:val="001000000000" w:firstRow="0" w:lastRow="0" w:firstColumn="1" w:lastColumn="0" w:oddVBand="0" w:evenVBand="0" w:oddHBand="0" w:evenHBand="0" w:firstRowFirstColumn="0" w:firstRowLastColumn="0" w:lastRowFirstColumn="0" w:lastRowLastColumn="0"/>
            <w:tcW w:w="5662" w:type="dxa"/>
            <w:noWrap/>
            <w:hideMark/>
          </w:tcPr>
          <w:p w:rsidR="00835262" w:rsidRPr="00D105E0" w:rsidRDefault="00835262" w:rsidP="00835262">
            <w:pPr>
              <w:pStyle w:val="ListParagraph"/>
              <w:numPr>
                <w:ilvl w:val="0"/>
                <w:numId w:val="5"/>
              </w:numPr>
              <w:rPr>
                <w:rFonts w:ascii="Arial" w:eastAsia="Times New Roman" w:hAnsi="Arial" w:cs="Arial"/>
                <w:sz w:val="20"/>
                <w:szCs w:val="20"/>
                <w:lang w:val="el-GR" w:eastAsia="en-GB"/>
              </w:rPr>
            </w:pPr>
            <w:r w:rsidRPr="00D105E0">
              <w:rPr>
                <w:rFonts w:ascii="Arial" w:eastAsia="Times New Roman" w:hAnsi="Arial" w:cs="Arial"/>
                <w:sz w:val="20"/>
                <w:szCs w:val="20"/>
                <w:lang w:val="el-GR" w:eastAsia="en-GB"/>
              </w:rPr>
              <w:t>ΚΡΟΑΤΙΑ</w:t>
            </w:r>
          </w:p>
        </w:tc>
        <w:tc>
          <w:tcPr>
            <w:tcW w:w="3479" w:type="dxa"/>
            <w:noWrap/>
            <w:hideMark/>
          </w:tcPr>
          <w:p w:rsidR="00835262" w:rsidRPr="001269B8" w:rsidRDefault="00835262" w:rsidP="0083526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Pr>
                <w:rFonts w:ascii="Arial" w:eastAsia="Times New Roman" w:hAnsi="Arial" w:cs="Arial"/>
                <w:sz w:val="20"/>
                <w:szCs w:val="20"/>
                <w:lang w:val="el-GR" w:eastAsia="en-GB"/>
              </w:rPr>
              <w:t>0,</w:t>
            </w:r>
            <w:r w:rsidRPr="001269B8">
              <w:rPr>
                <w:rFonts w:ascii="Arial" w:eastAsia="Times New Roman" w:hAnsi="Arial" w:cs="Arial"/>
                <w:sz w:val="20"/>
                <w:szCs w:val="20"/>
                <w:lang w:eastAsia="en-GB"/>
              </w:rPr>
              <w:t>2</w:t>
            </w:r>
          </w:p>
        </w:tc>
      </w:tr>
      <w:tr w:rsidR="00835262" w:rsidRPr="001269B8" w:rsidTr="00835262">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662" w:type="dxa"/>
            <w:noWrap/>
            <w:hideMark/>
          </w:tcPr>
          <w:p w:rsidR="00835262" w:rsidRPr="00D105E0" w:rsidRDefault="00835262" w:rsidP="00835262">
            <w:pPr>
              <w:pStyle w:val="ListParagraph"/>
              <w:numPr>
                <w:ilvl w:val="0"/>
                <w:numId w:val="5"/>
              </w:numPr>
              <w:rPr>
                <w:rFonts w:ascii="Arial" w:eastAsia="Times New Roman" w:hAnsi="Arial" w:cs="Arial"/>
                <w:sz w:val="20"/>
                <w:szCs w:val="20"/>
                <w:lang w:eastAsia="en-GB"/>
              </w:rPr>
            </w:pPr>
            <w:r w:rsidRPr="00D105E0">
              <w:rPr>
                <w:rFonts w:ascii="Arial" w:eastAsia="Times New Roman" w:hAnsi="Arial" w:cs="Arial"/>
                <w:sz w:val="20"/>
                <w:szCs w:val="20"/>
                <w:lang w:val="el-GR" w:eastAsia="en-GB"/>
              </w:rPr>
              <w:t>ΔΑΝΙΑ</w:t>
            </w:r>
          </w:p>
        </w:tc>
        <w:tc>
          <w:tcPr>
            <w:tcW w:w="3479" w:type="dxa"/>
            <w:noWrap/>
            <w:hideMark/>
          </w:tcPr>
          <w:p w:rsidR="00835262" w:rsidRPr="001269B8" w:rsidRDefault="00835262" w:rsidP="0083526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Pr>
                <w:rFonts w:ascii="Arial" w:eastAsia="Times New Roman" w:hAnsi="Arial" w:cs="Arial"/>
                <w:sz w:val="20"/>
                <w:szCs w:val="20"/>
                <w:lang w:val="el-GR" w:eastAsia="en-GB"/>
              </w:rPr>
              <w:t>0,</w:t>
            </w:r>
            <w:r w:rsidRPr="001269B8">
              <w:rPr>
                <w:rFonts w:ascii="Arial" w:eastAsia="Times New Roman" w:hAnsi="Arial" w:cs="Arial"/>
                <w:sz w:val="20"/>
                <w:szCs w:val="20"/>
                <w:lang w:eastAsia="en-GB"/>
              </w:rPr>
              <w:t>1</w:t>
            </w:r>
          </w:p>
        </w:tc>
      </w:tr>
    </w:tbl>
    <w:p w:rsidR="00835262" w:rsidRPr="00574C09" w:rsidRDefault="00835262" w:rsidP="00835262">
      <w:pPr>
        <w:rPr>
          <w:rFonts w:asciiTheme="minorHAnsi" w:hAnsiTheme="minorHAnsi"/>
          <w:i/>
          <w:sz w:val="20"/>
          <w:szCs w:val="24"/>
        </w:rPr>
      </w:pPr>
      <w:r w:rsidRPr="00574C09">
        <w:rPr>
          <w:rFonts w:asciiTheme="minorHAnsi" w:hAnsiTheme="minorHAnsi"/>
          <w:i/>
          <w:sz w:val="20"/>
          <w:szCs w:val="24"/>
        </w:rPr>
        <w:t xml:space="preserve">Πηγή: </w:t>
      </w:r>
      <w:proofErr w:type="spellStart"/>
      <w:r w:rsidRPr="00574C09">
        <w:rPr>
          <w:rFonts w:asciiTheme="minorHAnsi" w:hAnsiTheme="minorHAnsi"/>
          <w:i/>
          <w:sz w:val="20"/>
          <w:szCs w:val="24"/>
        </w:rPr>
        <w:t>Eurostat</w:t>
      </w:r>
      <w:proofErr w:type="spellEnd"/>
    </w:p>
    <w:p w:rsidR="00835262" w:rsidRDefault="00835262" w:rsidP="00835262">
      <w:pPr>
        <w:rPr>
          <w:szCs w:val="24"/>
        </w:rPr>
      </w:pPr>
    </w:p>
    <w:p w:rsidR="00332969" w:rsidRPr="000555DC" w:rsidRDefault="00332969" w:rsidP="00FE3B04">
      <w:pPr>
        <w:jc w:val="both"/>
        <w:rPr>
          <w:rFonts w:asciiTheme="minorHAnsi" w:hAnsiTheme="minorHAnsi"/>
          <w:szCs w:val="24"/>
        </w:rPr>
      </w:pPr>
    </w:p>
    <w:p w:rsidR="00332969" w:rsidRPr="000555DC" w:rsidRDefault="00332969" w:rsidP="00FE3B04">
      <w:pPr>
        <w:jc w:val="both"/>
        <w:rPr>
          <w:rFonts w:asciiTheme="minorHAnsi" w:hAnsiTheme="minorHAnsi"/>
          <w:szCs w:val="24"/>
        </w:rPr>
      </w:pPr>
    </w:p>
    <w:p w:rsidR="00332969" w:rsidRPr="000555DC" w:rsidRDefault="00332969" w:rsidP="00FE3B04">
      <w:pPr>
        <w:jc w:val="both"/>
        <w:rPr>
          <w:rFonts w:asciiTheme="minorHAnsi" w:hAnsiTheme="minorHAnsi"/>
          <w:szCs w:val="24"/>
        </w:rPr>
      </w:pPr>
    </w:p>
    <w:p w:rsidR="00332969" w:rsidRPr="000555DC" w:rsidRDefault="00332969" w:rsidP="00FE3B04">
      <w:pPr>
        <w:jc w:val="both"/>
        <w:rPr>
          <w:rFonts w:asciiTheme="minorHAnsi" w:hAnsiTheme="minorHAnsi"/>
          <w:szCs w:val="24"/>
        </w:rPr>
      </w:pPr>
    </w:p>
    <w:p w:rsidR="00332969" w:rsidRPr="000555DC" w:rsidRDefault="00332969" w:rsidP="00FE3B04">
      <w:pPr>
        <w:jc w:val="both"/>
        <w:rPr>
          <w:rFonts w:asciiTheme="minorHAnsi" w:hAnsiTheme="minorHAnsi"/>
          <w:szCs w:val="24"/>
        </w:rPr>
      </w:pPr>
    </w:p>
    <w:p w:rsidR="00332969" w:rsidRPr="000555DC" w:rsidRDefault="00332969" w:rsidP="00FE3B04">
      <w:pPr>
        <w:jc w:val="both"/>
        <w:rPr>
          <w:rFonts w:asciiTheme="minorHAnsi" w:hAnsiTheme="minorHAnsi"/>
          <w:szCs w:val="24"/>
        </w:rPr>
      </w:pPr>
    </w:p>
    <w:p w:rsidR="00332969" w:rsidRPr="000555DC" w:rsidRDefault="00332969" w:rsidP="00FE3B04">
      <w:pPr>
        <w:jc w:val="both"/>
        <w:rPr>
          <w:rFonts w:asciiTheme="minorHAnsi" w:hAnsiTheme="minorHAnsi"/>
          <w:szCs w:val="24"/>
        </w:rPr>
      </w:pPr>
    </w:p>
    <w:p w:rsidR="00574C09" w:rsidRDefault="00574C09" w:rsidP="00FE3B04">
      <w:pPr>
        <w:jc w:val="both"/>
        <w:rPr>
          <w:rFonts w:asciiTheme="minorHAnsi" w:hAnsiTheme="minorHAnsi"/>
          <w:szCs w:val="24"/>
        </w:rPr>
      </w:pPr>
    </w:p>
    <w:p w:rsidR="00574C09" w:rsidRDefault="00574C09" w:rsidP="00FE3B04">
      <w:pPr>
        <w:jc w:val="both"/>
        <w:rPr>
          <w:rFonts w:asciiTheme="minorHAnsi" w:hAnsiTheme="minorHAnsi"/>
          <w:szCs w:val="24"/>
        </w:rPr>
      </w:pPr>
    </w:p>
    <w:p w:rsidR="00574C09" w:rsidRDefault="00574C09" w:rsidP="00FE3B04">
      <w:pPr>
        <w:jc w:val="both"/>
        <w:rPr>
          <w:rFonts w:asciiTheme="minorHAnsi" w:hAnsiTheme="minorHAnsi"/>
          <w:szCs w:val="24"/>
        </w:rPr>
      </w:pPr>
    </w:p>
    <w:p w:rsidR="00574C09" w:rsidRDefault="00574C09" w:rsidP="00FE3B04">
      <w:pPr>
        <w:jc w:val="both"/>
        <w:rPr>
          <w:rFonts w:asciiTheme="minorHAnsi" w:hAnsiTheme="minorHAnsi"/>
          <w:szCs w:val="24"/>
        </w:rPr>
      </w:pPr>
    </w:p>
    <w:p w:rsidR="00574C09" w:rsidRDefault="00574C09" w:rsidP="00FE3B04">
      <w:pPr>
        <w:jc w:val="both"/>
        <w:rPr>
          <w:rFonts w:asciiTheme="minorHAnsi" w:hAnsiTheme="minorHAnsi"/>
          <w:szCs w:val="24"/>
        </w:rPr>
      </w:pPr>
    </w:p>
    <w:p w:rsidR="00574C09" w:rsidRDefault="00574C09" w:rsidP="00FE3B04">
      <w:pPr>
        <w:jc w:val="both"/>
        <w:rPr>
          <w:rFonts w:asciiTheme="minorHAnsi" w:hAnsiTheme="minorHAnsi"/>
          <w:szCs w:val="24"/>
        </w:rPr>
      </w:pPr>
    </w:p>
    <w:p w:rsidR="00332969" w:rsidRPr="000555DC" w:rsidRDefault="00332969" w:rsidP="00FE3B04">
      <w:pPr>
        <w:jc w:val="both"/>
        <w:rPr>
          <w:rFonts w:asciiTheme="minorHAnsi" w:hAnsiTheme="minorHAnsi"/>
          <w:szCs w:val="24"/>
        </w:rPr>
      </w:pPr>
      <w:r w:rsidRPr="000555DC">
        <w:rPr>
          <w:rFonts w:asciiTheme="minorHAnsi" w:hAnsiTheme="minorHAnsi"/>
          <w:szCs w:val="24"/>
        </w:rPr>
        <w:lastRenderedPageBreak/>
        <w:t>ΒΙΒΛΙΟΓΡΑΦΙΑ</w:t>
      </w:r>
    </w:p>
    <w:p w:rsidR="003E6E8F" w:rsidRPr="000555DC" w:rsidRDefault="003E6E8F" w:rsidP="00FE3B04">
      <w:pPr>
        <w:jc w:val="both"/>
        <w:rPr>
          <w:rFonts w:asciiTheme="minorHAnsi" w:hAnsiTheme="minorHAnsi"/>
          <w:szCs w:val="24"/>
          <w:lang w:val="en-US"/>
        </w:rPr>
      </w:pPr>
      <w:r w:rsidRPr="000555DC">
        <w:rPr>
          <w:rFonts w:asciiTheme="minorHAnsi" w:hAnsiTheme="minorHAnsi"/>
          <w:szCs w:val="24"/>
          <w:lang w:val="en-US"/>
        </w:rPr>
        <w:t>CBS Statistics Netherlands (</w:t>
      </w:r>
      <w:hyperlink r:id="rId17" w:history="1">
        <w:r w:rsidRPr="000555DC">
          <w:rPr>
            <w:rStyle w:val="Hyperlink"/>
            <w:rFonts w:asciiTheme="minorHAnsi" w:hAnsiTheme="minorHAnsi"/>
            <w:szCs w:val="24"/>
            <w:lang w:val="en-US"/>
          </w:rPr>
          <w:t>http://www.cbs.nl/nl-NL/menu/home/default.htm</w:t>
        </w:r>
      </w:hyperlink>
      <w:r w:rsidRPr="000555DC">
        <w:rPr>
          <w:rFonts w:asciiTheme="minorHAnsi" w:hAnsiTheme="minorHAnsi"/>
          <w:szCs w:val="24"/>
          <w:lang w:val="en-US"/>
        </w:rPr>
        <w:t>)</w:t>
      </w:r>
    </w:p>
    <w:p w:rsidR="003E6E8F" w:rsidRPr="000555DC" w:rsidRDefault="003E6E8F" w:rsidP="00FE3B04">
      <w:pPr>
        <w:pStyle w:val="Heading3"/>
        <w:jc w:val="both"/>
        <w:rPr>
          <w:rFonts w:asciiTheme="minorHAnsi" w:hAnsiTheme="minorHAnsi"/>
          <w:b w:val="0"/>
          <w:sz w:val="24"/>
          <w:szCs w:val="24"/>
          <w:lang w:val="en-US"/>
        </w:rPr>
      </w:pPr>
      <w:bookmarkStart w:id="1" w:name="_Toc388188932"/>
      <w:r w:rsidRPr="000555DC">
        <w:rPr>
          <w:rFonts w:asciiTheme="minorHAnsi" w:hAnsiTheme="minorHAnsi"/>
          <w:b w:val="0"/>
          <w:sz w:val="24"/>
          <w:szCs w:val="24"/>
          <w:lang w:val="en-US"/>
        </w:rPr>
        <w:t>International Olive Council (</w:t>
      </w:r>
      <w:hyperlink r:id="rId18" w:history="1">
        <w:r w:rsidRPr="000555DC">
          <w:rPr>
            <w:rStyle w:val="Hyperlink"/>
            <w:rFonts w:asciiTheme="minorHAnsi" w:hAnsiTheme="minorHAnsi"/>
            <w:b w:val="0"/>
            <w:sz w:val="24"/>
            <w:szCs w:val="24"/>
            <w:lang w:val="en-US"/>
          </w:rPr>
          <w:t xml:space="preserve">World </w:t>
        </w:r>
        <w:r w:rsidRPr="000555DC">
          <w:rPr>
            <w:rStyle w:val="Emphasis"/>
            <w:rFonts w:asciiTheme="minorHAnsi" w:hAnsiTheme="minorHAnsi"/>
            <w:b w:val="0"/>
            <w:color w:val="0000FF"/>
            <w:sz w:val="24"/>
            <w:szCs w:val="24"/>
            <w:u w:val="single"/>
            <w:lang w:val="en-US"/>
          </w:rPr>
          <w:t>Olive Oil</w:t>
        </w:r>
        <w:r w:rsidRPr="000555DC">
          <w:rPr>
            <w:rStyle w:val="Hyperlink"/>
            <w:rFonts w:asciiTheme="minorHAnsi" w:hAnsiTheme="minorHAnsi"/>
            <w:b w:val="0"/>
            <w:sz w:val="24"/>
            <w:szCs w:val="24"/>
            <w:lang w:val="en-US"/>
          </w:rPr>
          <w:t xml:space="preserve"> Figures - International Olive Council</w:t>
        </w:r>
      </w:hyperlink>
      <w:r w:rsidRPr="000555DC">
        <w:rPr>
          <w:rFonts w:asciiTheme="minorHAnsi" w:hAnsiTheme="minorHAnsi"/>
          <w:b w:val="0"/>
          <w:sz w:val="24"/>
          <w:szCs w:val="24"/>
          <w:lang w:val="en-US"/>
        </w:rPr>
        <w:t>)</w:t>
      </w:r>
      <w:bookmarkEnd w:id="1"/>
    </w:p>
    <w:p w:rsidR="003E6E8F" w:rsidRPr="000555DC" w:rsidRDefault="00332969" w:rsidP="00332969">
      <w:pPr>
        <w:rPr>
          <w:rFonts w:asciiTheme="minorHAnsi" w:hAnsiTheme="minorHAnsi"/>
          <w:szCs w:val="24"/>
          <w:lang w:val="en-US"/>
        </w:rPr>
      </w:pPr>
      <w:r w:rsidRPr="000555DC">
        <w:rPr>
          <w:rFonts w:asciiTheme="minorHAnsi" w:hAnsiTheme="minorHAnsi"/>
          <w:szCs w:val="24"/>
          <w:lang w:val="en-US"/>
        </w:rPr>
        <w:t>FAOSTAT – Food and Agriculture Organization of the United Nations (</w:t>
      </w:r>
      <w:hyperlink r:id="rId19" w:history="1">
        <w:r w:rsidRPr="000555DC">
          <w:rPr>
            <w:rStyle w:val="Hyperlink"/>
            <w:rFonts w:asciiTheme="minorHAnsi" w:hAnsiTheme="minorHAnsi"/>
            <w:szCs w:val="24"/>
            <w:lang w:val="en-US"/>
          </w:rPr>
          <w:t>http://faostat.fao.org/</w:t>
        </w:r>
      </w:hyperlink>
      <w:r w:rsidRPr="000555DC">
        <w:rPr>
          <w:rFonts w:asciiTheme="minorHAnsi" w:hAnsiTheme="minorHAnsi"/>
          <w:szCs w:val="24"/>
          <w:lang w:val="en-US"/>
        </w:rPr>
        <w:t>)</w:t>
      </w:r>
    </w:p>
    <w:p w:rsidR="00C0732A" w:rsidRPr="000555DC" w:rsidRDefault="00C0732A" w:rsidP="00332969">
      <w:pPr>
        <w:rPr>
          <w:rFonts w:asciiTheme="minorHAnsi" w:hAnsiTheme="minorHAnsi"/>
          <w:szCs w:val="24"/>
          <w:lang w:val="en-GB"/>
        </w:rPr>
      </w:pPr>
      <w:r w:rsidRPr="000555DC">
        <w:rPr>
          <w:rFonts w:asciiTheme="minorHAnsi" w:hAnsiTheme="minorHAnsi"/>
          <w:szCs w:val="24"/>
          <w:lang w:val="en-US"/>
        </w:rPr>
        <w:t>Eurostat-International Trade Statistics- EU trade since 1995 by HS6 [DS-016893]</w:t>
      </w:r>
    </w:p>
    <w:sectPr w:rsidR="00C0732A" w:rsidRPr="000555DC" w:rsidSect="000555DC">
      <w:footerReference w:type="default" r:id="rId20"/>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262" w:rsidRDefault="00835262" w:rsidP="009B0A72">
      <w:pPr>
        <w:spacing w:after="0" w:line="240" w:lineRule="auto"/>
      </w:pPr>
      <w:r>
        <w:separator/>
      </w:r>
    </w:p>
  </w:endnote>
  <w:endnote w:type="continuationSeparator" w:id="0">
    <w:p w:rsidR="00835262" w:rsidRDefault="00835262" w:rsidP="009B0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955178"/>
      <w:docPartObj>
        <w:docPartGallery w:val="Page Numbers (Bottom of Page)"/>
        <w:docPartUnique/>
      </w:docPartObj>
    </w:sdtPr>
    <w:sdtEndPr>
      <w:rPr>
        <w:noProof/>
      </w:rPr>
    </w:sdtEndPr>
    <w:sdtContent>
      <w:p w:rsidR="00835262" w:rsidRDefault="00835262">
        <w:pPr>
          <w:pStyle w:val="Footer"/>
          <w:jc w:val="center"/>
        </w:pPr>
        <w:r>
          <w:fldChar w:fldCharType="begin"/>
        </w:r>
        <w:r>
          <w:instrText xml:space="preserve"> PAGE   \* MERGEFORMAT </w:instrText>
        </w:r>
        <w:r>
          <w:fldChar w:fldCharType="separate"/>
        </w:r>
        <w:r w:rsidR="00574C09">
          <w:rPr>
            <w:noProof/>
          </w:rPr>
          <w:t>7</w:t>
        </w:r>
        <w:r>
          <w:rPr>
            <w:noProof/>
          </w:rPr>
          <w:fldChar w:fldCharType="end"/>
        </w:r>
      </w:p>
    </w:sdtContent>
  </w:sdt>
  <w:p w:rsidR="00835262" w:rsidRDefault="008352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262" w:rsidRDefault="00835262" w:rsidP="009B0A72">
      <w:pPr>
        <w:spacing w:after="0" w:line="240" w:lineRule="auto"/>
      </w:pPr>
      <w:r>
        <w:separator/>
      </w:r>
    </w:p>
  </w:footnote>
  <w:footnote w:type="continuationSeparator" w:id="0">
    <w:p w:rsidR="00835262" w:rsidRDefault="00835262" w:rsidP="009B0A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12B93"/>
    <w:multiLevelType w:val="hybridMultilevel"/>
    <w:tmpl w:val="C7FEF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38272CE"/>
    <w:multiLevelType w:val="hybridMultilevel"/>
    <w:tmpl w:val="9C34F96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3AC70E6"/>
    <w:multiLevelType w:val="hybridMultilevel"/>
    <w:tmpl w:val="C7FEF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D2653C5"/>
    <w:multiLevelType w:val="hybridMultilevel"/>
    <w:tmpl w:val="D0A6E8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74318DE"/>
    <w:multiLevelType w:val="hybridMultilevel"/>
    <w:tmpl w:val="57D60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100"/>
    <w:rsid w:val="00003E12"/>
    <w:rsid w:val="000271DA"/>
    <w:rsid w:val="00032084"/>
    <w:rsid w:val="00040C68"/>
    <w:rsid w:val="000555DC"/>
    <w:rsid w:val="00084D9D"/>
    <w:rsid w:val="000C04AB"/>
    <w:rsid w:val="00131030"/>
    <w:rsid w:val="0013297E"/>
    <w:rsid w:val="00137CED"/>
    <w:rsid w:val="0014196B"/>
    <w:rsid w:val="001454DC"/>
    <w:rsid w:val="0015371D"/>
    <w:rsid w:val="001A583D"/>
    <w:rsid w:val="001B27E2"/>
    <w:rsid w:val="001E427F"/>
    <w:rsid w:val="00200209"/>
    <w:rsid w:val="00244A82"/>
    <w:rsid w:val="00284AE1"/>
    <w:rsid w:val="00297A45"/>
    <w:rsid w:val="002E4D53"/>
    <w:rsid w:val="002E79CC"/>
    <w:rsid w:val="0032774E"/>
    <w:rsid w:val="00332969"/>
    <w:rsid w:val="003B1EB3"/>
    <w:rsid w:val="003E6E8F"/>
    <w:rsid w:val="003F5F38"/>
    <w:rsid w:val="00402ACC"/>
    <w:rsid w:val="00462813"/>
    <w:rsid w:val="004A3710"/>
    <w:rsid w:val="005213BD"/>
    <w:rsid w:val="00546DB1"/>
    <w:rsid w:val="005550EC"/>
    <w:rsid w:val="00574C09"/>
    <w:rsid w:val="005912DC"/>
    <w:rsid w:val="005B74DB"/>
    <w:rsid w:val="005C6A28"/>
    <w:rsid w:val="005D3192"/>
    <w:rsid w:val="00673A47"/>
    <w:rsid w:val="006B6DE5"/>
    <w:rsid w:val="006F049F"/>
    <w:rsid w:val="007D15FA"/>
    <w:rsid w:val="007F34E8"/>
    <w:rsid w:val="00827EF2"/>
    <w:rsid w:val="00834FC4"/>
    <w:rsid w:val="00835262"/>
    <w:rsid w:val="00854BCB"/>
    <w:rsid w:val="00862FB4"/>
    <w:rsid w:val="00891100"/>
    <w:rsid w:val="008F75AA"/>
    <w:rsid w:val="0091343B"/>
    <w:rsid w:val="0093457B"/>
    <w:rsid w:val="00977608"/>
    <w:rsid w:val="009847CF"/>
    <w:rsid w:val="0098765D"/>
    <w:rsid w:val="00997A01"/>
    <w:rsid w:val="009B0A72"/>
    <w:rsid w:val="009D0644"/>
    <w:rsid w:val="009D58EE"/>
    <w:rsid w:val="00A327BA"/>
    <w:rsid w:val="00A34C80"/>
    <w:rsid w:val="00A41DD6"/>
    <w:rsid w:val="00A7305C"/>
    <w:rsid w:val="00A822DC"/>
    <w:rsid w:val="00A912CF"/>
    <w:rsid w:val="00A9584F"/>
    <w:rsid w:val="00AE69D5"/>
    <w:rsid w:val="00AF2461"/>
    <w:rsid w:val="00B02009"/>
    <w:rsid w:val="00B22A44"/>
    <w:rsid w:val="00B32160"/>
    <w:rsid w:val="00B449CA"/>
    <w:rsid w:val="00B66A81"/>
    <w:rsid w:val="00B7209C"/>
    <w:rsid w:val="00B92357"/>
    <w:rsid w:val="00BB5A2C"/>
    <w:rsid w:val="00C00AE9"/>
    <w:rsid w:val="00C0732A"/>
    <w:rsid w:val="00C214AE"/>
    <w:rsid w:val="00CF689C"/>
    <w:rsid w:val="00D057D7"/>
    <w:rsid w:val="00D5765B"/>
    <w:rsid w:val="00D633C8"/>
    <w:rsid w:val="00DC1BCC"/>
    <w:rsid w:val="00DC4284"/>
    <w:rsid w:val="00E8462D"/>
    <w:rsid w:val="00E92050"/>
    <w:rsid w:val="00F06774"/>
    <w:rsid w:val="00F27733"/>
    <w:rsid w:val="00F362A6"/>
    <w:rsid w:val="00F91624"/>
    <w:rsid w:val="00F91F47"/>
    <w:rsid w:val="00FB7CD0"/>
    <w:rsid w:val="00FC6F1C"/>
    <w:rsid w:val="00FD7295"/>
    <w:rsid w:val="00FE3B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A45"/>
  </w:style>
  <w:style w:type="paragraph" w:styleId="Heading2">
    <w:name w:val="heading 2"/>
    <w:basedOn w:val="Normal"/>
    <w:next w:val="Normal"/>
    <w:link w:val="Heading2Char"/>
    <w:uiPriority w:val="9"/>
    <w:unhideWhenUsed/>
    <w:qFormat/>
    <w:rsid w:val="00835262"/>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link w:val="Heading3Char"/>
    <w:uiPriority w:val="9"/>
    <w:qFormat/>
    <w:rsid w:val="003E6E8F"/>
    <w:pPr>
      <w:spacing w:before="100" w:beforeAutospacing="1" w:after="100" w:afterAutospacing="1" w:line="240" w:lineRule="auto"/>
      <w:outlineLvl w:val="2"/>
    </w:pPr>
    <w:rPr>
      <w:rFonts w:eastAsia="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E6E8F"/>
    <w:rPr>
      <w:rFonts w:eastAsia="Times New Roman"/>
      <w:b/>
      <w:bCs/>
      <w:sz w:val="27"/>
      <w:szCs w:val="27"/>
      <w:lang w:eastAsia="el-GR"/>
    </w:rPr>
  </w:style>
  <w:style w:type="character" w:styleId="Hyperlink">
    <w:name w:val="Hyperlink"/>
    <w:basedOn w:val="DefaultParagraphFont"/>
    <w:uiPriority w:val="99"/>
    <w:unhideWhenUsed/>
    <w:rsid w:val="003E6E8F"/>
    <w:rPr>
      <w:color w:val="0000FF" w:themeColor="hyperlink"/>
      <w:u w:val="single"/>
    </w:rPr>
  </w:style>
  <w:style w:type="character" w:styleId="Emphasis">
    <w:name w:val="Emphasis"/>
    <w:basedOn w:val="DefaultParagraphFont"/>
    <w:uiPriority w:val="20"/>
    <w:qFormat/>
    <w:rsid w:val="003E6E8F"/>
    <w:rPr>
      <w:i/>
      <w:iCs/>
    </w:rPr>
  </w:style>
  <w:style w:type="paragraph" w:styleId="BalloonText">
    <w:name w:val="Balloon Text"/>
    <w:basedOn w:val="Normal"/>
    <w:link w:val="BalloonTextChar"/>
    <w:uiPriority w:val="99"/>
    <w:semiHidden/>
    <w:unhideWhenUsed/>
    <w:rsid w:val="004A3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710"/>
    <w:rPr>
      <w:rFonts w:ascii="Tahoma" w:hAnsi="Tahoma" w:cs="Tahoma"/>
      <w:sz w:val="16"/>
      <w:szCs w:val="16"/>
    </w:rPr>
  </w:style>
  <w:style w:type="paragraph" w:styleId="ListParagraph">
    <w:name w:val="List Paragraph"/>
    <w:basedOn w:val="Normal"/>
    <w:uiPriority w:val="34"/>
    <w:qFormat/>
    <w:rsid w:val="00E92050"/>
    <w:pPr>
      <w:ind w:left="720"/>
      <w:contextualSpacing/>
    </w:pPr>
  </w:style>
  <w:style w:type="paragraph" w:styleId="TOC3">
    <w:name w:val="toc 3"/>
    <w:basedOn w:val="Normal"/>
    <w:next w:val="Normal"/>
    <w:autoRedefine/>
    <w:uiPriority w:val="39"/>
    <w:unhideWhenUsed/>
    <w:rsid w:val="00131030"/>
    <w:pPr>
      <w:spacing w:after="100"/>
      <w:ind w:left="480"/>
    </w:pPr>
  </w:style>
  <w:style w:type="character" w:styleId="FollowedHyperlink">
    <w:name w:val="FollowedHyperlink"/>
    <w:basedOn w:val="DefaultParagraphFont"/>
    <w:uiPriority w:val="99"/>
    <w:semiHidden/>
    <w:unhideWhenUsed/>
    <w:rsid w:val="00B449CA"/>
    <w:rPr>
      <w:color w:val="800080" w:themeColor="followedHyperlink"/>
      <w:u w:val="single"/>
    </w:rPr>
  </w:style>
  <w:style w:type="paragraph" w:styleId="Header">
    <w:name w:val="header"/>
    <w:basedOn w:val="Normal"/>
    <w:link w:val="HeaderChar"/>
    <w:uiPriority w:val="99"/>
    <w:unhideWhenUsed/>
    <w:rsid w:val="009B0A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A72"/>
  </w:style>
  <w:style w:type="paragraph" w:styleId="Footer">
    <w:name w:val="footer"/>
    <w:basedOn w:val="Normal"/>
    <w:link w:val="FooterChar"/>
    <w:uiPriority w:val="99"/>
    <w:unhideWhenUsed/>
    <w:rsid w:val="009B0A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A72"/>
  </w:style>
  <w:style w:type="character" w:customStyle="1" w:styleId="Heading2Char">
    <w:name w:val="Heading 2 Char"/>
    <w:basedOn w:val="DefaultParagraphFont"/>
    <w:link w:val="Heading2"/>
    <w:uiPriority w:val="9"/>
    <w:rsid w:val="00835262"/>
    <w:rPr>
      <w:rFonts w:asciiTheme="majorHAnsi" w:eastAsiaTheme="majorEastAsia" w:hAnsiTheme="majorHAnsi" w:cstheme="majorBidi"/>
      <w:b/>
      <w:bCs/>
      <w:color w:val="4F81BD" w:themeColor="accent1"/>
      <w:sz w:val="26"/>
      <w:szCs w:val="26"/>
      <w:lang w:val="en-GB"/>
    </w:rPr>
  </w:style>
  <w:style w:type="table" w:styleId="LightShading">
    <w:name w:val="Light Shading"/>
    <w:basedOn w:val="TableNormal"/>
    <w:uiPriority w:val="60"/>
    <w:rsid w:val="00835262"/>
    <w:pPr>
      <w:spacing w:after="0" w:line="240" w:lineRule="auto"/>
    </w:pPr>
    <w:rPr>
      <w:rFonts w:asciiTheme="minorHAnsi" w:hAnsiTheme="minorHAnsi" w:cstheme="minorBidi"/>
      <w:color w:val="000000" w:themeColor="text1" w:themeShade="BF"/>
      <w:sz w:val="22"/>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A45"/>
  </w:style>
  <w:style w:type="paragraph" w:styleId="Heading2">
    <w:name w:val="heading 2"/>
    <w:basedOn w:val="Normal"/>
    <w:next w:val="Normal"/>
    <w:link w:val="Heading2Char"/>
    <w:uiPriority w:val="9"/>
    <w:unhideWhenUsed/>
    <w:qFormat/>
    <w:rsid w:val="00835262"/>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link w:val="Heading3Char"/>
    <w:uiPriority w:val="9"/>
    <w:qFormat/>
    <w:rsid w:val="003E6E8F"/>
    <w:pPr>
      <w:spacing w:before="100" w:beforeAutospacing="1" w:after="100" w:afterAutospacing="1" w:line="240" w:lineRule="auto"/>
      <w:outlineLvl w:val="2"/>
    </w:pPr>
    <w:rPr>
      <w:rFonts w:eastAsia="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E6E8F"/>
    <w:rPr>
      <w:rFonts w:eastAsia="Times New Roman"/>
      <w:b/>
      <w:bCs/>
      <w:sz w:val="27"/>
      <w:szCs w:val="27"/>
      <w:lang w:eastAsia="el-GR"/>
    </w:rPr>
  </w:style>
  <w:style w:type="character" w:styleId="Hyperlink">
    <w:name w:val="Hyperlink"/>
    <w:basedOn w:val="DefaultParagraphFont"/>
    <w:uiPriority w:val="99"/>
    <w:unhideWhenUsed/>
    <w:rsid w:val="003E6E8F"/>
    <w:rPr>
      <w:color w:val="0000FF" w:themeColor="hyperlink"/>
      <w:u w:val="single"/>
    </w:rPr>
  </w:style>
  <w:style w:type="character" w:styleId="Emphasis">
    <w:name w:val="Emphasis"/>
    <w:basedOn w:val="DefaultParagraphFont"/>
    <w:uiPriority w:val="20"/>
    <w:qFormat/>
    <w:rsid w:val="003E6E8F"/>
    <w:rPr>
      <w:i/>
      <w:iCs/>
    </w:rPr>
  </w:style>
  <w:style w:type="paragraph" w:styleId="BalloonText">
    <w:name w:val="Balloon Text"/>
    <w:basedOn w:val="Normal"/>
    <w:link w:val="BalloonTextChar"/>
    <w:uiPriority w:val="99"/>
    <w:semiHidden/>
    <w:unhideWhenUsed/>
    <w:rsid w:val="004A3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710"/>
    <w:rPr>
      <w:rFonts w:ascii="Tahoma" w:hAnsi="Tahoma" w:cs="Tahoma"/>
      <w:sz w:val="16"/>
      <w:szCs w:val="16"/>
    </w:rPr>
  </w:style>
  <w:style w:type="paragraph" w:styleId="ListParagraph">
    <w:name w:val="List Paragraph"/>
    <w:basedOn w:val="Normal"/>
    <w:uiPriority w:val="34"/>
    <w:qFormat/>
    <w:rsid w:val="00E92050"/>
    <w:pPr>
      <w:ind w:left="720"/>
      <w:contextualSpacing/>
    </w:pPr>
  </w:style>
  <w:style w:type="paragraph" w:styleId="TOC3">
    <w:name w:val="toc 3"/>
    <w:basedOn w:val="Normal"/>
    <w:next w:val="Normal"/>
    <w:autoRedefine/>
    <w:uiPriority w:val="39"/>
    <w:unhideWhenUsed/>
    <w:rsid w:val="00131030"/>
    <w:pPr>
      <w:spacing w:after="100"/>
      <w:ind w:left="480"/>
    </w:pPr>
  </w:style>
  <w:style w:type="character" w:styleId="FollowedHyperlink">
    <w:name w:val="FollowedHyperlink"/>
    <w:basedOn w:val="DefaultParagraphFont"/>
    <w:uiPriority w:val="99"/>
    <w:semiHidden/>
    <w:unhideWhenUsed/>
    <w:rsid w:val="00B449CA"/>
    <w:rPr>
      <w:color w:val="800080" w:themeColor="followedHyperlink"/>
      <w:u w:val="single"/>
    </w:rPr>
  </w:style>
  <w:style w:type="paragraph" w:styleId="Header">
    <w:name w:val="header"/>
    <w:basedOn w:val="Normal"/>
    <w:link w:val="HeaderChar"/>
    <w:uiPriority w:val="99"/>
    <w:unhideWhenUsed/>
    <w:rsid w:val="009B0A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A72"/>
  </w:style>
  <w:style w:type="paragraph" w:styleId="Footer">
    <w:name w:val="footer"/>
    <w:basedOn w:val="Normal"/>
    <w:link w:val="FooterChar"/>
    <w:uiPriority w:val="99"/>
    <w:unhideWhenUsed/>
    <w:rsid w:val="009B0A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A72"/>
  </w:style>
  <w:style w:type="character" w:customStyle="1" w:styleId="Heading2Char">
    <w:name w:val="Heading 2 Char"/>
    <w:basedOn w:val="DefaultParagraphFont"/>
    <w:link w:val="Heading2"/>
    <w:uiPriority w:val="9"/>
    <w:rsid w:val="00835262"/>
    <w:rPr>
      <w:rFonts w:asciiTheme="majorHAnsi" w:eastAsiaTheme="majorEastAsia" w:hAnsiTheme="majorHAnsi" w:cstheme="majorBidi"/>
      <w:b/>
      <w:bCs/>
      <w:color w:val="4F81BD" w:themeColor="accent1"/>
      <w:sz w:val="26"/>
      <w:szCs w:val="26"/>
      <w:lang w:val="en-GB"/>
    </w:rPr>
  </w:style>
  <w:style w:type="table" w:styleId="LightShading">
    <w:name w:val="Light Shading"/>
    <w:basedOn w:val="TableNormal"/>
    <w:uiPriority w:val="60"/>
    <w:rsid w:val="00835262"/>
    <w:pPr>
      <w:spacing w:after="0" w:line="240" w:lineRule="auto"/>
    </w:pPr>
    <w:rPr>
      <w:rFonts w:asciiTheme="minorHAnsi" w:hAnsiTheme="minorHAnsi" w:cstheme="minorBidi"/>
      <w:color w:val="000000" w:themeColor="text1" w:themeShade="BF"/>
      <w:sz w:val="22"/>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1355">
      <w:bodyDiv w:val="1"/>
      <w:marLeft w:val="0"/>
      <w:marRight w:val="0"/>
      <w:marTop w:val="0"/>
      <w:marBottom w:val="0"/>
      <w:divBdr>
        <w:top w:val="none" w:sz="0" w:space="0" w:color="auto"/>
        <w:left w:val="none" w:sz="0" w:space="0" w:color="auto"/>
        <w:bottom w:val="none" w:sz="0" w:space="0" w:color="auto"/>
        <w:right w:val="none" w:sz="0" w:space="0" w:color="auto"/>
      </w:divBdr>
    </w:div>
    <w:div w:id="170075169">
      <w:bodyDiv w:val="1"/>
      <w:marLeft w:val="0"/>
      <w:marRight w:val="0"/>
      <w:marTop w:val="0"/>
      <w:marBottom w:val="0"/>
      <w:divBdr>
        <w:top w:val="none" w:sz="0" w:space="0" w:color="auto"/>
        <w:left w:val="none" w:sz="0" w:space="0" w:color="auto"/>
        <w:bottom w:val="none" w:sz="0" w:space="0" w:color="auto"/>
        <w:right w:val="none" w:sz="0" w:space="0" w:color="auto"/>
      </w:divBdr>
    </w:div>
    <w:div w:id="325791932">
      <w:bodyDiv w:val="1"/>
      <w:marLeft w:val="0"/>
      <w:marRight w:val="0"/>
      <w:marTop w:val="0"/>
      <w:marBottom w:val="0"/>
      <w:divBdr>
        <w:top w:val="none" w:sz="0" w:space="0" w:color="auto"/>
        <w:left w:val="none" w:sz="0" w:space="0" w:color="auto"/>
        <w:bottom w:val="none" w:sz="0" w:space="0" w:color="auto"/>
        <w:right w:val="none" w:sz="0" w:space="0" w:color="auto"/>
      </w:divBdr>
    </w:div>
    <w:div w:id="730662909">
      <w:bodyDiv w:val="1"/>
      <w:marLeft w:val="0"/>
      <w:marRight w:val="0"/>
      <w:marTop w:val="0"/>
      <w:marBottom w:val="0"/>
      <w:divBdr>
        <w:top w:val="none" w:sz="0" w:space="0" w:color="auto"/>
        <w:left w:val="none" w:sz="0" w:space="0" w:color="auto"/>
        <w:bottom w:val="none" w:sz="0" w:space="0" w:color="auto"/>
        <w:right w:val="none" w:sz="0" w:space="0" w:color="auto"/>
      </w:divBdr>
    </w:div>
    <w:div w:id="756099574">
      <w:bodyDiv w:val="1"/>
      <w:marLeft w:val="0"/>
      <w:marRight w:val="0"/>
      <w:marTop w:val="0"/>
      <w:marBottom w:val="0"/>
      <w:divBdr>
        <w:top w:val="none" w:sz="0" w:space="0" w:color="auto"/>
        <w:left w:val="none" w:sz="0" w:space="0" w:color="auto"/>
        <w:bottom w:val="none" w:sz="0" w:space="0" w:color="auto"/>
        <w:right w:val="none" w:sz="0" w:space="0" w:color="auto"/>
      </w:divBdr>
    </w:div>
    <w:div w:id="1057783539">
      <w:bodyDiv w:val="1"/>
      <w:marLeft w:val="0"/>
      <w:marRight w:val="0"/>
      <w:marTop w:val="0"/>
      <w:marBottom w:val="0"/>
      <w:divBdr>
        <w:top w:val="none" w:sz="0" w:space="0" w:color="auto"/>
        <w:left w:val="none" w:sz="0" w:space="0" w:color="auto"/>
        <w:bottom w:val="none" w:sz="0" w:space="0" w:color="auto"/>
        <w:right w:val="none" w:sz="0" w:space="0" w:color="auto"/>
      </w:divBdr>
    </w:div>
    <w:div w:id="1141849310">
      <w:bodyDiv w:val="1"/>
      <w:marLeft w:val="0"/>
      <w:marRight w:val="0"/>
      <w:marTop w:val="0"/>
      <w:marBottom w:val="0"/>
      <w:divBdr>
        <w:top w:val="none" w:sz="0" w:space="0" w:color="auto"/>
        <w:left w:val="none" w:sz="0" w:space="0" w:color="auto"/>
        <w:bottom w:val="none" w:sz="0" w:space="0" w:color="auto"/>
        <w:right w:val="none" w:sz="0" w:space="0" w:color="auto"/>
      </w:divBdr>
    </w:div>
    <w:div w:id="1340351997">
      <w:bodyDiv w:val="1"/>
      <w:marLeft w:val="0"/>
      <w:marRight w:val="0"/>
      <w:marTop w:val="0"/>
      <w:marBottom w:val="0"/>
      <w:divBdr>
        <w:top w:val="none" w:sz="0" w:space="0" w:color="auto"/>
        <w:left w:val="none" w:sz="0" w:space="0" w:color="auto"/>
        <w:bottom w:val="none" w:sz="0" w:space="0" w:color="auto"/>
        <w:right w:val="none" w:sz="0" w:space="0" w:color="auto"/>
      </w:divBdr>
    </w:div>
    <w:div w:id="1514614564">
      <w:bodyDiv w:val="1"/>
      <w:marLeft w:val="0"/>
      <w:marRight w:val="0"/>
      <w:marTop w:val="0"/>
      <w:marBottom w:val="0"/>
      <w:divBdr>
        <w:top w:val="none" w:sz="0" w:space="0" w:color="auto"/>
        <w:left w:val="none" w:sz="0" w:space="0" w:color="auto"/>
        <w:bottom w:val="none" w:sz="0" w:space="0" w:color="auto"/>
        <w:right w:val="none" w:sz="0" w:space="0" w:color="auto"/>
      </w:divBdr>
    </w:div>
    <w:div w:id="1736123584">
      <w:bodyDiv w:val="1"/>
      <w:marLeft w:val="0"/>
      <w:marRight w:val="0"/>
      <w:marTop w:val="0"/>
      <w:marBottom w:val="0"/>
      <w:divBdr>
        <w:top w:val="none" w:sz="0" w:space="0" w:color="auto"/>
        <w:left w:val="none" w:sz="0" w:space="0" w:color="auto"/>
        <w:bottom w:val="none" w:sz="0" w:space="0" w:color="auto"/>
        <w:right w:val="none" w:sz="0" w:space="0" w:color="auto"/>
      </w:divBdr>
    </w:div>
    <w:div w:id="1959219200">
      <w:bodyDiv w:val="1"/>
      <w:marLeft w:val="0"/>
      <w:marRight w:val="0"/>
      <w:marTop w:val="0"/>
      <w:marBottom w:val="0"/>
      <w:divBdr>
        <w:top w:val="none" w:sz="0" w:space="0" w:color="auto"/>
        <w:left w:val="none" w:sz="0" w:space="0" w:color="auto"/>
        <w:bottom w:val="none" w:sz="0" w:space="0" w:color="auto"/>
        <w:right w:val="none" w:sz="0" w:space="0" w:color="auto"/>
      </w:divBdr>
    </w:div>
    <w:div w:id="212934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yperlink" Target="http://www.google.gr/url?sa=t&amp;rct=j&amp;q=&amp;esrc=s&amp;source=web&amp;cd=2&amp;cad=rja&amp;uact=8&amp;ved=0CDwQFjAB&amp;url=http%3A%2F%2Fwww.internationaloliveoil.org%2Fitems%2Fview%2F184-world-olive-oil-figures&amp;ei=nrZLU6vYEtTe7AbWzYDACg&amp;usg=AFQjCNHzUEXDw-eLLAldIKzTX_tBvXS0Ig&amp;sig2=Tk3OdwqBiJt5V1NJQlscY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http://www.cbs.nl/nl-NL/menu/home/default.htm" TargetMode="External"/><Relationship Id="rId2" Type="http://schemas.openxmlformats.org/officeDocument/2006/relationships/numbering" Target="numbering.xml"/><Relationship Id="rId16" Type="http://schemas.openxmlformats.org/officeDocument/2006/relationships/hyperlink" Target="http://en.wikipedia.org/wiki/List_of_supermarket_chains_in_the_Netherland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image" Target="media/image2.jpeg"/><Relationship Id="rId19" Type="http://schemas.openxmlformats.org/officeDocument/2006/relationships/hyperlink" Target="http://faostat.fao.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Vasiliki\Desktop\Greek%20Embassy\Olijfolie\Olijfolie%20-%20market%20pric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vans\Desktop\Ordered\Final%20Report%20Olive%20Oi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Evans\Desktop\Ordered\Final%20Report%20Olive%20Oi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Evans\Desktop\Ordered\Final%20Report%20Olive%20Oi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Evans\Desktop\Ordered\Final%20Report%20Olive%20Oi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l-GR" sz="1400"/>
              <a:t>Μέσος</a:t>
            </a:r>
            <a:r>
              <a:rPr lang="el-GR" sz="1400" baseline="0"/>
              <a:t> όρος τιμών, εξαιρετικά παρθένο ελαιόλαδο</a:t>
            </a:r>
            <a:endParaRPr lang="en-US" sz="1400"/>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500ml</c:v>
          </c:tx>
          <c:invertIfNegative val="0"/>
          <c:val>
            <c:numRef>
              <c:f>Sheet1!$I$15</c:f>
              <c:numCache>
                <c:formatCode>General</c:formatCode>
                <c:ptCount val="1"/>
                <c:pt idx="0">
                  <c:v>2.9216666666666669</c:v>
                </c:pt>
              </c:numCache>
            </c:numRef>
          </c:val>
        </c:ser>
        <c:ser>
          <c:idx val="1"/>
          <c:order val="1"/>
          <c:tx>
            <c:v>750ml</c:v>
          </c:tx>
          <c:invertIfNegative val="0"/>
          <c:val>
            <c:numRef>
              <c:f>Sheet1!$J$10</c:f>
              <c:numCache>
                <c:formatCode>General</c:formatCode>
                <c:ptCount val="1"/>
                <c:pt idx="0">
                  <c:v>4.4585714285714291</c:v>
                </c:pt>
              </c:numCache>
            </c:numRef>
          </c:val>
        </c:ser>
        <c:ser>
          <c:idx val="2"/>
          <c:order val="2"/>
          <c:tx>
            <c:v>1L</c:v>
          </c:tx>
          <c:invertIfNegative val="0"/>
          <c:val>
            <c:numRef>
              <c:f>Sheet1!$K$11</c:f>
              <c:numCache>
                <c:formatCode>General</c:formatCode>
                <c:ptCount val="1"/>
                <c:pt idx="0">
                  <c:v>4.7850000000000001</c:v>
                </c:pt>
              </c:numCache>
            </c:numRef>
          </c:val>
        </c:ser>
        <c:dLbls>
          <c:showLegendKey val="0"/>
          <c:showVal val="0"/>
          <c:showCatName val="0"/>
          <c:showSerName val="0"/>
          <c:showPercent val="0"/>
          <c:showBubbleSize val="0"/>
        </c:dLbls>
        <c:gapWidth val="150"/>
        <c:shape val="cylinder"/>
        <c:axId val="55383168"/>
        <c:axId val="55384704"/>
        <c:axId val="0"/>
      </c:bar3DChart>
      <c:catAx>
        <c:axId val="55383168"/>
        <c:scaling>
          <c:orientation val="minMax"/>
        </c:scaling>
        <c:delete val="1"/>
        <c:axPos val="b"/>
        <c:majorTickMark val="out"/>
        <c:minorTickMark val="none"/>
        <c:tickLblPos val="none"/>
        <c:crossAx val="55384704"/>
        <c:crosses val="autoZero"/>
        <c:auto val="1"/>
        <c:lblAlgn val="ctr"/>
        <c:lblOffset val="100"/>
        <c:noMultiLvlLbl val="0"/>
      </c:catAx>
      <c:valAx>
        <c:axId val="55384704"/>
        <c:scaling>
          <c:orientation val="minMax"/>
        </c:scaling>
        <c:delete val="0"/>
        <c:axPos val="l"/>
        <c:majorGridlines/>
        <c:numFmt formatCode="General" sourceLinked="1"/>
        <c:majorTickMark val="out"/>
        <c:minorTickMark val="none"/>
        <c:tickLblPos val="nextTo"/>
        <c:crossAx val="5538316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l-GR" sz="1200"/>
              <a:t>Διάγραμμα</a:t>
            </a:r>
            <a:r>
              <a:rPr lang="el-GR" sz="1200" baseline="0"/>
              <a:t> 1</a:t>
            </a:r>
            <a:r>
              <a:rPr lang="en-GB" sz="1200" baseline="0"/>
              <a:t>:</a:t>
            </a:r>
            <a:r>
              <a:rPr lang="el-GR" sz="1200"/>
              <a:t>Σύγκριση</a:t>
            </a:r>
            <a:r>
              <a:rPr lang="el-GR" sz="1200" baseline="0"/>
              <a:t> ε</a:t>
            </a:r>
            <a:r>
              <a:rPr lang="el-GR" sz="1200"/>
              <a:t>ξαγωγών</a:t>
            </a:r>
            <a:r>
              <a:rPr lang="el-GR" sz="1200" baseline="0"/>
              <a:t> στην Ολλανδία (σε ευρώ)</a:t>
            </a:r>
            <a:endParaRPr lang="en-GB" sz="1200"/>
          </a:p>
        </c:rich>
      </c:tx>
      <c:layout>
        <c:manualLayout>
          <c:xMode val="edge"/>
          <c:yMode val="edge"/>
          <c:x val="0.2702501833735429"/>
          <c:y val="0"/>
        </c:manualLayout>
      </c:layout>
      <c:overlay val="1"/>
    </c:title>
    <c:autoTitleDeleted val="0"/>
    <c:plotArea>
      <c:layout>
        <c:manualLayout>
          <c:layoutTarget val="inner"/>
          <c:xMode val="edge"/>
          <c:yMode val="edge"/>
          <c:x val="0.2195304024496938"/>
          <c:y val="0.13010425780110821"/>
          <c:w val="0.60009558180227474"/>
          <c:h val="0.57653470399533391"/>
        </c:manualLayout>
      </c:layout>
      <c:barChart>
        <c:barDir val="col"/>
        <c:grouping val="clustered"/>
        <c:varyColors val="0"/>
        <c:ser>
          <c:idx val="0"/>
          <c:order val="0"/>
          <c:tx>
            <c:strRef>
              <c:f>Sheet1!$B$239</c:f>
              <c:strCache>
                <c:ptCount val="1"/>
                <c:pt idx="0">
                  <c:v>Ελλάδα</c:v>
                </c:pt>
              </c:strCache>
            </c:strRef>
          </c:tx>
          <c:invertIfNegative val="0"/>
          <c:cat>
            <c:strRef>
              <c:f>Sheet1!$A$240:$A$245</c:f>
              <c:strCache>
                <c:ptCount val="6"/>
                <c:pt idx="0">
                  <c:v>Jan.-Dec. 2009</c:v>
                </c:pt>
                <c:pt idx="1">
                  <c:v>Jan.-Dec. 2010</c:v>
                </c:pt>
                <c:pt idx="2">
                  <c:v>Jan.-Dec. 2011</c:v>
                </c:pt>
                <c:pt idx="3">
                  <c:v>Jan.-Dec. 2012</c:v>
                </c:pt>
                <c:pt idx="4">
                  <c:v>Jan.-Dec. 2013</c:v>
                </c:pt>
                <c:pt idx="5">
                  <c:v>Jan.-Dec. 2014</c:v>
                </c:pt>
              </c:strCache>
            </c:strRef>
          </c:cat>
          <c:val>
            <c:numRef>
              <c:f>Sheet1!$B$240:$B$245</c:f>
              <c:numCache>
                <c:formatCode>#,##0</c:formatCode>
                <c:ptCount val="6"/>
                <c:pt idx="0">
                  <c:v>2720869077</c:v>
                </c:pt>
                <c:pt idx="1">
                  <c:v>2667700539</c:v>
                </c:pt>
                <c:pt idx="2">
                  <c:v>2497063968</c:v>
                </c:pt>
                <c:pt idx="3">
                  <c:v>2267982390</c:v>
                </c:pt>
                <c:pt idx="4">
                  <c:v>2354944513</c:v>
                </c:pt>
                <c:pt idx="5">
                  <c:v>2481350845</c:v>
                </c:pt>
              </c:numCache>
            </c:numRef>
          </c:val>
        </c:ser>
        <c:ser>
          <c:idx val="1"/>
          <c:order val="1"/>
          <c:tx>
            <c:strRef>
              <c:f>Sheet1!$C$239</c:f>
              <c:strCache>
                <c:ptCount val="1"/>
                <c:pt idx="0">
                  <c:v>Ιταλία</c:v>
                </c:pt>
              </c:strCache>
            </c:strRef>
          </c:tx>
          <c:invertIfNegative val="0"/>
          <c:cat>
            <c:strRef>
              <c:f>Sheet1!$A$240:$A$245</c:f>
              <c:strCache>
                <c:ptCount val="6"/>
                <c:pt idx="0">
                  <c:v>Jan.-Dec. 2009</c:v>
                </c:pt>
                <c:pt idx="1">
                  <c:v>Jan.-Dec. 2010</c:v>
                </c:pt>
                <c:pt idx="2">
                  <c:v>Jan.-Dec. 2011</c:v>
                </c:pt>
                <c:pt idx="3">
                  <c:v>Jan.-Dec. 2012</c:v>
                </c:pt>
                <c:pt idx="4">
                  <c:v>Jan.-Dec. 2013</c:v>
                </c:pt>
                <c:pt idx="5">
                  <c:v>Jan.-Dec. 2014</c:v>
                </c:pt>
              </c:strCache>
            </c:strRef>
          </c:cat>
          <c:val>
            <c:numRef>
              <c:f>Sheet1!$C$240:$C$245</c:f>
              <c:numCache>
                <c:formatCode>#,##0</c:formatCode>
                <c:ptCount val="6"/>
                <c:pt idx="0">
                  <c:v>18043292794</c:v>
                </c:pt>
                <c:pt idx="1">
                  <c:v>21076847686</c:v>
                </c:pt>
                <c:pt idx="2">
                  <c:v>22368171148</c:v>
                </c:pt>
                <c:pt idx="3">
                  <c:v>22442540240</c:v>
                </c:pt>
                <c:pt idx="4">
                  <c:v>22391755045</c:v>
                </c:pt>
                <c:pt idx="5">
                  <c:v>21326025733</c:v>
                </c:pt>
              </c:numCache>
            </c:numRef>
          </c:val>
        </c:ser>
        <c:ser>
          <c:idx val="2"/>
          <c:order val="2"/>
          <c:tx>
            <c:strRef>
              <c:f>Sheet1!$D$239</c:f>
              <c:strCache>
                <c:ptCount val="1"/>
                <c:pt idx="0">
                  <c:v>Ισπανία</c:v>
                </c:pt>
              </c:strCache>
            </c:strRef>
          </c:tx>
          <c:invertIfNegative val="0"/>
          <c:cat>
            <c:strRef>
              <c:f>Sheet1!$A$240:$A$245</c:f>
              <c:strCache>
                <c:ptCount val="6"/>
                <c:pt idx="0">
                  <c:v>Jan.-Dec. 2009</c:v>
                </c:pt>
                <c:pt idx="1">
                  <c:v>Jan.-Dec. 2010</c:v>
                </c:pt>
                <c:pt idx="2">
                  <c:v>Jan.-Dec. 2011</c:v>
                </c:pt>
                <c:pt idx="3">
                  <c:v>Jan.-Dec. 2012</c:v>
                </c:pt>
                <c:pt idx="4">
                  <c:v>Jan.-Dec. 2013</c:v>
                </c:pt>
                <c:pt idx="5">
                  <c:v>Jan.-Dec. 2014</c:v>
                </c:pt>
              </c:strCache>
            </c:strRef>
          </c:cat>
          <c:val>
            <c:numRef>
              <c:f>Sheet1!$D$240:$D$245</c:f>
              <c:numCache>
                <c:formatCode>#,##0</c:formatCode>
                <c:ptCount val="6"/>
                <c:pt idx="0">
                  <c:v>12258468883</c:v>
                </c:pt>
                <c:pt idx="1">
                  <c:v>14804382605</c:v>
                </c:pt>
                <c:pt idx="2">
                  <c:v>14318858257</c:v>
                </c:pt>
                <c:pt idx="3">
                  <c:v>13872646143</c:v>
                </c:pt>
                <c:pt idx="4">
                  <c:v>13368194847</c:v>
                </c:pt>
                <c:pt idx="5">
                  <c:v>14327557719</c:v>
                </c:pt>
              </c:numCache>
            </c:numRef>
          </c:val>
        </c:ser>
        <c:dLbls>
          <c:showLegendKey val="0"/>
          <c:showVal val="0"/>
          <c:showCatName val="0"/>
          <c:showSerName val="0"/>
          <c:showPercent val="0"/>
          <c:showBubbleSize val="0"/>
        </c:dLbls>
        <c:gapWidth val="150"/>
        <c:axId val="55419264"/>
        <c:axId val="55420800"/>
      </c:barChart>
      <c:catAx>
        <c:axId val="55419264"/>
        <c:scaling>
          <c:orientation val="minMax"/>
        </c:scaling>
        <c:delete val="0"/>
        <c:axPos val="b"/>
        <c:majorTickMark val="out"/>
        <c:minorTickMark val="none"/>
        <c:tickLblPos val="nextTo"/>
        <c:crossAx val="55420800"/>
        <c:crosses val="autoZero"/>
        <c:auto val="1"/>
        <c:lblAlgn val="ctr"/>
        <c:lblOffset val="100"/>
        <c:noMultiLvlLbl val="0"/>
      </c:catAx>
      <c:valAx>
        <c:axId val="55420800"/>
        <c:scaling>
          <c:orientation val="minMax"/>
        </c:scaling>
        <c:delete val="0"/>
        <c:axPos val="l"/>
        <c:majorGridlines/>
        <c:numFmt formatCode="#,##0" sourceLinked="1"/>
        <c:majorTickMark val="out"/>
        <c:minorTickMark val="none"/>
        <c:tickLblPos val="nextTo"/>
        <c:crossAx val="5541926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l-GR" sz="1200" b="1" i="0" u="none" strike="noStrike" baseline="0">
                <a:effectLst/>
              </a:rPr>
              <a:t>Διάγραμμα 2</a:t>
            </a:r>
            <a:r>
              <a:rPr lang="en-GB" sz="1200" b="1" i="0" u="none" strike="noStrike" baseline="0">
                <a:effectLst/>
              </a:rPr>
              <a:t>:</a:t>
            </a:r>
            <a:r>
              <a:rPr lang="el-GR" sz="1200" b="1" i="0" u="none" strike="noStrike" baseline="0">
                <a:effectLst/>
              </a:rPr>
              <a:t>Σύγκριση εξαγωγών στην Ολλανδία </a:t>
            </a:r>
            <a:r>
              <a:rPr lang="en-GB" sz="1200" b="1" i="0" u="none" strike="noStrike" baseline="0">
                <a:effectLst/>
              </a:rPr>
              <a:t>(</a:t>
            </a:r>
            <a:r>
              <a:rPr lang="el-GR" sz="1200" b="1" i="0" u="none" strike="noStrike" baseline="0">
                <a:effectLst/>
              </a:rPr>
              <a:t>σε 100 </a:t>
            </a:r>
            <a:r>
              <a:rPr lang="en-GB" sz="1200" b="1" i="0" u="none" strike="noStrike" baseline="0">
                <a:effectLst/>
              </a:rPr>
              <a:t>kg) </a:t>
            </a:r>
            <a:endParaRPr lang="en-GB" sz="1200"/>
          </a:p>
        </c:rich>
      </c:tx>
      <c:layout>
        <c:manualLayout>
          <c:xMode val="edge"/>
          <c:yMode val="edge"/>
          <c:x val="0.12217953450003523"/>
          <c:y val="2.0547813397052455E-2"/>
        </c:manualLayout>
      </c:layout>
      <c:overlay val="1"/>
    </c:title>
    <c:autoTitleDeleted val="0"/>
    <c:plotArea>
      <c:layout>
        <c:manualLayout>
          <c:layoutTarget val="inner"/>
          <c:xMode val="edge"/>
          <c:yMode val="edge"/>
          <c:x val="0.1639404755632399"/>
          <c:y val="0.20230513616990536"/>
          <c:w val="0.70535672103495262"/>
          <c:h val="0.62679260275951743"/>
        </c:manualLayout>
      </c:layout>
      <c:barChart>
        <c:barDir val="col"/>
        <c:grouping val="clustered"/>
        <c:varyColors val="0"/>
        <c:ser>
          <c:idx val="0"/>
          <c:order val="0"/>
          <c:tx>
            <c:strRef>
              <c:f>Sheet1!$B$255</c:f>
              <c:strCache>
                <c:ptCount val="1"/>
                <c:pt idx="0">
                  <c:v>Ελλάδα</c:v>
                </c:pt>
              </c:strCache>
            </c:strRef>
          </c:tx>
          <c:invertIfNegative val="0"/>
          <c:cat>
            <c:strRef>
              <c:f>Sheet1!$A$256:$A$261</c:f>
              <c:strCache>
                <c:ptCount val="6"/>
                <c:pt idx="0">
                  <c:v>Jan.-Dec. 2009</c:v>
                </c:pt>
                <c:pt idx="1">
                  <c:v>Jan.-Dec. 2010</c:v>
                </c:pt>
                <c:pt idx="2">
                  <c:v>Jan.-Dec. 2011</c:v>
                </c:pt>
                <c:pt idx="3">
                  <c:v>Jan.-Dec. 2012</c:v>
                </c:pt>
                <c:pt idx="4">
                  <c:v>Jan.-Dec. 2013</c:v>
                </c:pt>
                <c:pt idx="5">
                  <c:v>Jan.-Dec. 2014</c:v>
                </c:pt>
              </c:strCache>
            </c:strRef>
          </c:cat>
          <c:val>
            <c:numRef>
              <c:f>Sheet1!$B$256:$B$261</c:f>
              <c:numCache>
                <c:formatCode>#,##0</c:formatCode>
                <c:ptCount val="6"/>
                <c:pt idx="0">
                  <c:v>10849300</c:v>
                </c:pt>
                <c:pt idx="1">
                  <c:v>9886199</c:v>
                </c:pt>
                <c:pt idx="2">
                  <c:v>10021152</c:v>
                </c:pt>
                <c:pt idx="3">
                  <c:v>8423267</c:v>
                </c:pt>
                <c:pt idx="4">
                  <c:v>13444270</c:v>
                </c:pt>
                <c:pt idx="5">
                  <c:v>11464449</c:v>
                </c:pt>
              </c:numCache>
            </c:numRef>
          </c:val>
        </c:ser>
        <c:ser>
          <c:idx val="1"/>
          <c:order val="1"/>
          <c:tx>
            <c:strRef>
              <c:f>Sheet1!$C$255</c:f>
              <c:strCache>
                <c:ptCount val="1"/>
                <c:pt idx="0">
                  <c:v>Ιταλία</c:v>
                </c:pt>
              </c:strCache>
            </c:strRef>
          </c:tx>
          <c:invertIfNegative val="0"/>
          <c:cat>
            <c:strRef>
              <c:f>Sheet1!$A$256:$A$261</c:f>
              <c:strCache>
                <c:ptCount val="6"/>
                <c:pt idx="0">
                  <c:v>Jan.-Dec. 2009</c:v>
                </c:pt>
                <c:pt idx="1">
                  <c:v>Jan.-Dec. 2010</c:v>
                </c:pt>
                <c:pt idx="2">
                  <c:v>Jan.-Dec. 2011</c:v>
                </c:pt>
                <c:pt idx="3">
                  <c:v>Jan.-Dec. 2012</c:v>
                </c:pt>
                <c:pt idx="4">
                  <c:v>Jan.-Dec. 2013</c:v>
                </c:pt>
                <c:pt idx="5">
                  <c:v>Jan.-Dec. 2014</c:v>
                </c:pt>
              </c:strCache>
            </c:strRef>
          </c:cat>
          <c:val>
            <c:numRef>
              <c:f>Sheet1!$C$256:$C$261</c:f>
              <c:numCache>
                <c:formatCode>#,##0</c:formatCode>
                <c:ptCount val="6"/>
                <c:pt idx="0">
                  <c:v>98885664</c:v>
                </c:pt>
                <c:pt idx="1">
                  <c:v>105640375</c:v>
                </c:pt>
                <c:pt idx="2">
                  <c:v>118568023</c:v>
                </c:pt>
                <c:pt idx="3">
                  <c:v>112930924</c:v>
                </c:pt>
                <c:pt idx="4">
                  <c:v>121345275</c:v>
                </c:pt>
                <c:pt idx="5">
                  <c:v>100228325</c:v>
                </c:pt>
              </c:numCache>
            </c:numRef>
          </c:val>
        </c:ser>
        <c:ser>
          <c:idx val="2"/>
          <c:order val="2"/>
          <c:tx>
            <c:strRef>
              <c:f>Sheet1!$D$255</c:f>
              <c:strCache>
                <c:ptCount val="1"/>
                <c:pt idx="0">
                  <c:v>Ισπανία</c:v>
                </c:pt>
              </c:strCache>
            </c:strRef>
          </c:tx>
          <c:invertIfNegative val="0"/>
          <c:cat>
            <c:strRef>
              <c:f>Sheet1!$A$256:$A$261</c:f>
              <c:strCache>
                <c:ptCount val="6"/>
                <c:pt idx="0">
                  <c:v>Jan.-Dec. 2009</c:v>
                </c:pt>
                <c:pt idx="1">
                  <c:v>Jan.-Dec. 2010</c:v>
                </c:pt>
                <c:pt idx="2">
                  <c:v>Jan.-Dec. 2011</c:v>
                </c:pt>
                <c:pt idx="3">
                  <c:v>Jan.-Dec. 2012</c:v>
                </c:pt>
                <c:pt idx="4">
                  <c:v>Jan.-Dec. 2013</c:v>
                </c:pt>
                <c:pt idx="5">
                  <c:v>Jan.-Dec. 2014</c:v>
                </c:pt>
              </c:strCache>
            </c:strRef>
          </c:cat>
          <c:val>
            <c:numRef>
              <c:f>Sheet1!$D$256:$D$261</c:f>
              <c:numCache>
                <c:formatCode>#,##0</c:formatCode>
                <c:ptCount val="6"/>
                <c:pt idx="0">
                  <c:v>52457893</c:v>
                </c:pt>
                <c:pt idx="1">
                  <c:v>57710234</c:v>
                </c:pt>
                <c:pt idx="2">
                  <c:v>54277597</c:v>
                </c:pt>
                <c:pt idx="3">
                  <c:v>58879882</c:v>
                </c:pt>
                <c:pt idx="4">
                  <c:v>69635924</c:v>
                </c:pt>
                <c:pt idx="5">
                  <c:v>61116752</c:v>
                </c:pt>
              </c:numCache>
            </c:numRef>
          </c:val>
        </c:ser>
        <c:dLbls>
          <c:showLegendKey val="0"/>
          <c:showVal val="0"/>
          <c:showCatName val="0"/>
          <c:showSerName val="0"/>
          <c:showPercent val="0"/>
          <c:showBubbleSize val="0"/>
        </c:dLbls>
        <c:gapWidth val="150"/>
        <c:axId val="81169792"/>
        <c:axId val="103883904"/>
      </c:barChart>
      <c:catAx>
        <c:axId val="81169792"/>
        <c:scaling>
          <c:orientation val="minMax"/>
        </c:scaling>
        <c:delete val="0"/>
        <c:axPos val="b"/>
        <c:majorTickMark val="out"/>
        <c:minorTickMark val="none"/>
        <c:tickLblPos val="nextTo"/>
        <c:crossAx val="103883904"/>
        <c:crosses val="autoZero"/>
        <c:auto val="1"/>
        <c:lblAlgn val="ctr"/>
        <c:lblOffset val="100"/>
        <c:noMultiLvlLbl val="0"/>
      </c:catAx>
      <c:valAx>
        <c:axId val="103883904"/>
        <c:scaling>
          <c:orientation val="minMax"/>
        </c:scaling>
        <c:delete val="0"/>
        <c:axPos val="l"/>
        <c:majorGridlines/>
        <c:numFmt formatCode="#,##0" sourceLinked="1"/>
        <c:majorTickMark val="out"/>
        <c:minorTickMark val="none"/>
        <c:tickLblPos val="nextTo"/>
        <c:crossAx val="8116979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l-GR" sz="1400"/>
              <a:t>Διάγραμμα</a:t>
            </a:r>
            <a:r>
              <a:rPr lang="el-GR" sz="1400" baseline="0"/>
              <a:t> 3</a:t>
            </a:r>
            <a:r>
              <a:rPr lang="en-GB" sz="1400" baseline="0"/>
              <a:t>:</a:t>
            </a:r>
            <a:r>
              <a:rPr lang="el-GR" sz="1400"/>
              <a:t>Σύγκριση</a:t>
            </a:r>
            <a:r>
              <a:rPr lang="el-GR" sz="1400" baseline="0"/>
              <a:t> εξαγωγών στη ΕΕ 28 (σε ευρώ)</a:t>
            </a:r>
            <a:endParaRPr lang="en-GB" sz="1400"/>
          </a:p>
        </c:rich>
      </c:tx>
      <c:layout>
        <c:manualLayout>
          <c:xMode val="edge"/>
          <c:yMode val="edge"/>
          <c:x val="0.19924992622724372"/>
          <c:y val="2.7108436949582222E-2"/>
        </c:manualLayout>
      </c:layout>
      <c:overlay val="1"/>
    </c:title>
    <c:autoTitleDeleted val="0"/>
    <c:plotArea>
      <c:layout>
        <c:manualLayout>
          <c:layoutTarget val="inner"/>
          <c:xMode val="edge"/>
          <c:yMode val="edge"/>
          <c:x val="0.19711157744146302"/>
          <c:y val="0.17666803157528124"/>
          <c:w val="0.64366660656578456"/>
          <c:h val="0.65500351662597434"/>
        </c:manualLayout>
      </c:layout>
      <c:barChart>
        <c:barDir val="col"/>
        <c:grouping val="clustered"/>
        <c:varyColors val="0"/>
        <c:ser>
          <c:idx val="0"/>
          <c:order val="0"/>
          <c:tx>
            <c:strRef>
              <c:f>Sheet1!$B$274</c:f>
              <c:strCache>
                <c:ptCount val="1"/>
                <c:pt idx="0">
                  <c:v>Ελλάδα</c:v>
                </c:pt>
              </c:strCache>
            </c:strRef>
          </c:tx>
          <c:invertIfNegative val="0"/>
          <c:cat>
            <c:strRef>
              <c:f>Sheet1!$A$275:$A$280</c:f>
              <c:strCache>
                <c:ptCount val="6"/>
                <c:pt idx="0">
                  <c:v>Jan.-Dec. 2009</c:v>
                </c:pt>
                <c:pt idx="1">
                  <c:v>Jan.-Dec. 2010</c:v>
                </c:pt>
                <c:pt idx="2">
                  <c:v>Jan.-Dec. 2011</c:v>
                </c:pt>
                <c:pt idx="3">
                  <c:v>Jan.-Dec. 2012</c:v>
                </c:pt>
                <c:pt idx="4">
                  <c:v>Jan.-Dec. 2013</c:v>
                </c:pt>
                <c:pt idx="5">
                  <c:v>Jan.-Dec. 2014</c:v>
                </c:pt>
              </c:strCache>
            </c:strRef>
          </c:cat>
          <c:val>
            <c:numRef>
              <c:f>Sheet1!$B$275:$B$280</c:f>
              <c:numCache>
                <c:formatCode>#,##0</c:formatCode>
                <c:ptCount val="6"/>
                <c:pt idx="0">
                  <c:v>29874825469</c:v>
                </c:pt>
                <c:pt idx="1">
                  <c:v>27216133304</c:v>
                </c:pt>
                <c:pt idx="2">
                  <c:v>25527970518</c:v>
                </c:pt>
                <c:pt idx="3">
                  <c:v>22724409379</c:v>
                </c:pt>
                <c:pt idx="4">
                  <c:v>22569780875</c:v>
                </c:pt>
                <c:pt idx="5">
                  <c:v>23657353549</c:v>
                </c:pt>
              </c:numCache>
            </c:numRef>
          </c:val>
        </c:ser>
        <c:ser>
          <c:idx val="1"/>
          <c:order val="1"/>
          <c:tx>
            <c:strRef>
              <c:f>Sheet1!$C$274</c:f>
              <c:strCache>
                <c:ptCount val="1"/>
                <c:pt idx="0">
                  <c:v>Ιταλία</c:v>
                </c:pt>
              </c:strCache>
            </c:strRef>
          </c:tx>
          <c:invertIfNegative val="0"/>
          <c:cat>
            <c:strRef>
              <c:f>Sheet1!$A$275:$A$280</c:f>
              <c:strCache>
                <c:ptCount val="6"/>
                <c:pt idx="0">
                  <c:v>Jan.-Dec. 2009</c:v>
                </c:pt>
                <c:pt idx="1">
                  <c:v>Jan.-Dec. 2010</c:v>
                </c:pt>
                <c:pt idx="2">
                  <c:v>Jan.-Dec. 2011</c:v>
                </c:pt>
                <c:pt idx="3">
                  <c:v>Jan.-Dec. 2012</c:v>
                </c:pt>
                <c:pt idx="4">
                  <c:v>Jan.-Dec. 2013</c:v>
                </c:pt>
                <c:pt idx="5">
                  <c:v>Jan.-Dec. 2014</c:v>
                </c:pt>
              </c:strCache>
            </c:strRef>
          </c:cat>
          <c:val>
            <c:numRef>
              <c:f>Sheet1!$C$275:$C$280</c:f>
              <c:numCache>
                <c:formatCode>#,##0</c:formatCode>
                <c:ptCount val="6"/>
                <c:pt idx="0">
                  <c:v>179309105277</c:v>
                </c:pt>
                <c:pt idx="1">
                  <c:v>205421671793</c:v>
                </c:pt>
                <c:pt idx="2">
                  <c:v>219654658872</c:v>
                </c:pt>
                <c:pt idx="3">
                  <c:v>205105713523</c:v>
                </c:pt>
                <c:pt idx="4">
                  <c:v>200808201933</c:v>
                </c:pt>
                <c:pt idx="5">
                  <c:v>205150185149</c:v>
                </c:pt>
              </c:numCache>
            </c:numRef>
          </c:val>
        </c:ser>
        <c:ser>
          <c:idx val="2"/>
          <c:order val="2"/>
          <c:tx>
            <c:strRef>
              <c:f>Sheet1!$D$274</c:f>
              <c:strCache>
                <c:ptCount val="1"/>
                <c:pt idx="0">
                  <c:v>Ισπανία</c:v>
                </c:pt>
              </c:strCache>
            </c:strRef>
          </c:tx>
          <c:invertIfNegative val="0"/>
          <c:cat>
            <c:strRef>
              <c:f>Sheet1!$A$275:$A$280</c:f>
              <c:strCache>
                <c:ptCount val="6"/>
                <c:pt idx="0">
                  <c:v>Jan.-Dec. 2009</c:v>
                </c:pt>
                <c:pt idx="1">
                  <c:v>Jan.-Dec. 2010</c:v>
                </c:pt>
                <c:pt idx="2">
                  <c:v>Jan.-Dec. 2011</c:v>
                </c:pt>
                <c:pt idx="3">
                  <c:v>Jan.-Dec. 2012</c:v>
                </c:pt>
                <c:pt idx="4">
                  <c:v>Jan.-Dec. 2013</c:v>
                </c:pt>
                <c:pt idx="5">
                  <c:v>Jan.-Dec. 2014</c:v>
                </c:pt>
              </c:strCache>
            </c:strRef>
          </c:cat>
          <c:val>
            <c:numRef>
              <c:f>Sheet1!$D$275:$D$280</c:f>
              <c:numCache>
                <c:formatCode>#,##0</c:formatCode>
                <c:ptCount val="6"/>
                <c:pt idx="0">
                  <c:v>134979215257</c:v>
                </c:pt>
                <c:pt idx="1">
                  <c:v>151082075653</c:v>
                </c:pt>
                <c:pt idx="2">
                  <c:v>153256793983</c:v>
                </c:pt>
                <c:pt idx="3">
                  <c:v>141891020070</c:v>
                </c:pt>
                <c:pt idx="4">
                  <c:v>142656502481</c:v>
                </c:pt>
                <c:pt idx="5">
                  <c:v>153554624163</c:v>
                </c:pt>
              </c:numCache>
            </c:numRef>
          </c:val>
        </c:ser>
        <c:dLbls>
          <c:showLegendKey val="0"/>
          <c:showVal val="0"/>
          <c:showCatName val="0"/>
          <c:showSerName val="0"/>
          <c:showPercent val="0"/>
          <c:showBubbleSize val="0"/>
        </c:dLbls>
        <c:gapWidth val="150"/>
        <c:axId val="108055168"/>
        <c:axId val="108061056"/>
      </c:barChart>
      <c:catAx>
        <c:axId val="108055168"/>
        <c:scaling>
          <c:orientation val="minMax"/>
        </c:scaling>
        <c:delete val="0"/>
        <c:axPos val="b"/>
        <c:majorTickMark val="out"/>
        <c:minorTickMark val="none"/>
        <c:tickLblPos val="nextTo"/>
        <c:crossAx val="108061056"/>
        <c:crosses val="autoZero"/>
        <c:auto val="1"/>
        <c:lblAlgn val="ctr"/>
        <c:lblOffset val="100"/>
        <c:noMultiLvlLbl val="0"/>
      </c:catAx>
      <c:valAx>
        <c:axId val="108061056"/>
        <c:scaling>
          <c:orientation val="minMax"/>
        </c:scaling>
        <c:delete val="0"/>
        <c:axPos val="l"/>
        <c:majorGridlines/>
        <c:numFmt formatCode="#,##0" sourceLinked="1"/>
        <c:majorTickMark val="out"/>
        <c:minorTickMark val="none"/>
        <c:tickLblPos val="nextTo"/>
        <c:crossAx val="10805516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l-GR" sz="1400" b="1" i="0" u="none" strike="noStrike" baseline="0">
                <a:effectLst/>
              </a:rPr>
              <a:t>Διάγραμμα 4</a:t>
            </a:r>
            <a:r>
              <a:rPr lang="en-GB" sz="1400" b="1" i="0" u="none" strike="noStrike" baseline="0">
                <a:effectLst/>
              </a:rPr>
              <a:t>: </a:t>
            </a:r>
            <a:r>
              <a:rPr lang="el-GR" sz="1400" b="1" i="0" u="none" strike="noStrike" baseline="0">
                <a:effectLst/>
              </a:rPr>
              <a:t>Σύγκριση εξαγωγών στη ΕΕ 28 (σε 100</a:t>
            </a:r>
            <a:r>
              <a:rPr lang="en-GB" sz="1400" b="1" i="0" u="none" strike="noStrike" baseline="0">
                <a:effectLst/>
              </a:rPr>
              <a:t> kg)</a:t>
            </a:r>
            <a:endParaRPr lang="en-GB" sz="1400"/>
          </a:p>
        </c:rich>
      </c:tx>
      <c:layout/>
      <c:overlay val="1"/>
    </c:title>
    <c:autoTitleDeleted val="0"/>
    <c:plotArea>
      <c:layout>
        <c:manualLayout>
          <c:layoutTarget val="inner"/>
          <c:xMode val="edge"/>
          <c:yMode val="edge"/>
          <c:x val="0.16809305654974946"/>
          <c:y val="0.19934691611634706"/>
          <c:w val="0.70251002147458841"/>
          <c:h val="0.65241688970288536"/>
        </c:manualLayout>
      </c:layout>
      <c:barChart>
        <c:barDir val="col"/>
        <c:grouping val="clustered"/>
        <c:varyColors val="0"/>
        <c:ser>
          <c:idx val="0"/>
          <c:order val="0"/>
          <c:tx>
            <c:strRef>
              <c:f>Sheet1!$B$294</c:f>
              <c:strCache>
                <c:ptCount val="1"/>
                <c:pt idx="0">
                  <c:v>Ελλάδα</c:v>
                </c:pt>
              </c:strCache>
            </c:strRef>
          </c:tx>
          <c:invertIfNegative val="0"/>
          <c:cat>
            <c:strRef>
              <c:f>Sheet1!$A$295:$A$300</c:f>
              <c:strCache>
                <c:ptCount val="6"/>
                <c:pt idx="0">
                  <c:v>Jan.-Dec. 2009</c:v>
                </c:pt>
                <c:pt idx="1">
                  <c:v>Jan.-Dec. 2010</c:v>
                </c:pt>
                <c:pt idx="2">
                  <c:v>Jan.-Dec. 2011</c:v>
                </c:pt>
                <c:pt idx="3">
                  <c:v>Jan.-Dec. 2012</c:v>
                </c:pt>
                <c:pt idx="4">
                  <c:v>Jan.-Dec. 2013</c:v>
                </c:pt>
                <c:pt idx="5">
                  <c:v>Jan.-Dec. 2014</c:v>
                </c:pt>
              </c:strCache>
            </c:strRef>
          </c:cat>
          <c:val>
            <c:numRef>
              <c:f>Sheet1!$B$295:$B$300</c:f>
              <c:numCache>
                <c:formatCode>#,##0</c:formatCode>
                <c:ptCount val="6"/>
                <c:pt idx="0">
                  <c:v>139697589</c:v>
                </c:pt>
                <c:pt idx="1">
                  <c:v>135590998</c:v>
                </c:pt>
                <c:pt idx="2">
                  <c:v>133979327</c:v>
                </c:pt>
                <c:pt idx="3">
                  <c:v>118561203</c:v>
                </c:pt>
                <c:pt idx="4">
                  <c:v>130998691</c:v>
                </c:pt>
                <c:pt idx="5">
                  <c:v>130546151</c:v>
                </c:pt>
              </c:numCache>
            </c:numRef>
          </c:val>
        </c:ser>
        <c:ser>
          <c:idx val="1"/>
          <c:order val="1"/>
          <c:tx>
            <c:strRef>
              <c:f>Sheet1!$C$294</c:f>
              <c:strCache>
                <c:ptCount val="1"/>
                <c:pt idx="0">
                  <c:v>Ιταλία</c:v>
                </c:pt>
              </c:strCache>
            </c:strRef>
          </c:tx>
          <c:invertIfNegative val="0"/>
          <c:cat>
            <c:strRef>
              <c:f>Sheet1!$A$295:$A$300</c:f>
              <c:strCache>
                <c:ptCount val="6"/>
                <c:pt idx="0">
                  <c:v>Jan.-Dec. 2009</c:v>
                </c:pt>
                <c:pt idx="1">
                  <c:v>Jan.-Dec. 2010</c:v>
                </c:pt>
                <c:pt idx="2">
                  <c:v>Jan.-Dec. 2011</c:v>
                </c:pt>
                <c:pt idx="3">
                  <c:v>Jan.-Dec. 2012</c:v>
                </c:pt>
                <c:pt idx="4">
                  <c:v>Jan.-Dec. 2013</c:v>
                </c:pt>
                <c:pt idx="5">
                  <c:v>Jan.-Dec. 2014</c:v>
                </c:pt>
              </c:strCache>
            </c:strRef>
          </c:cat>
          <c:val>
            <c:numRef>
              <c:f>Sheet1!$C$295:$C$300</c:f>
              <c:numCache>
                <c:formatCode>#,##0</c:formatCode>
                <c:ptCount val="6"/>
                <c:pt idx="0">
                  <c:v>983942350</c:v>
                </c:pt>
                <c:pt idx="1">
                  <c:v>1111473706</c:v>
                </c:pt>
                <c:pt idx="2">
                  <c:v>1125855340</c:v>
                </c:pt>
                <c:pt idx="3">
                  <c:v>1050404774</c:v>
                </c:pt>
                <c:pt idx="4">
                  <c:v>1055909743</c:v>
                </c:pt>
                <c:pt idx="5">
                  <c:v>1085492753</c:v>
                </c:pt>
              </c:numCache>
            </c:numRef>
          </c:val>
        </c:ser>
        <c:ser>
          <c:idx val="2"/>
          <c:order val="2"/>
          <c:tx>
            <c:strRef>
              <c:f>Sheet1!$D$294</c:f>
              <c:strCache>
                <c:ptCount val="1"/>
                <c:pt idx="0">
                  <c:v>Ισπανία</c:v>
                </c:pt>
              </c:strCache>
            </c:strRef>
          </c:tx>
          <c:invertIfNegative val="0"/>
          <c:cat>
            <c:strRef>
              <c:f>Sheet1!$A$295:$A$300</c:f>
              <c:strCache>
                <c:ptCount val="6"/>
                <c:pt idx="0">
                  <c:v>Jan.-Dec. 2009</c:v>
                </c:pt>
                <c:pt idx="1">
                  <c:v>Jan.-Dec. 2010</c:v>
                </c:pt>
                <c:pt idx="2">
                  <c:v>Jan.-Dec. 2011</c:v>
                </c:pt>
                <c:pt idx="3">
                  <c:v>Jan.-Dec. 2012</c:v>
                </c:pt>
                <c:pt idx="4">
                  <c:v>Jan.-Dec. 2013</c:v>
                </c:pt>
                <c:pt idx="5">
                  <c:v>Jan.-Dec. 2014</c:v>
                </c:pt>
              </c:strCache>
            </c:strRef>
          </c:cat>
          <c:val>
            <c:numRef>
              <c:f>Sheet1!$D$295:$D$300</c:f>
              <c:numCache>
                <c:formatCode>#,##0</c:formatCode>
                <c:ptCount val="6"/>
                <c:pt idx="0">
                  <c:v>698601747</c:v>
                </c:pt>
                <c:pt idx="1">
                  <c:v>775014565</c:v>
                </c:pt>
                <c:pt idx="2">
                  <c:v>723777389</c:v>
                </c:pt>
                <c:pt idx="3">
                  <c:v>679306423</c:v>
                </c:pt>
                <c:pt idx="4">
                  <c:v>707178703</c:v>
                </c:pt>
                <c:pt idx="5">
                  <c:v>748388015</c:v>
                </c:pt>
              </c:numCache>
            </c:numRef>
          </c:val>
        </c:ser>
        <c:dLbls>
          <c:showLegendKey val="0"/>
          <c:showVal val="0"/>
          <c:showCatName val="0"/>
          <c:showSerName val="0"/>
          <c:showPercent val="0"/>
          <c:showBubbleSize val="0"/>
        </c:dLbls>
        <c:gapWidth val="150"/>
        <c:axId val="108083072"/>
        <c:axId val="108084608"/>
      </c:barChart>
      <c:catAx>
        <c:axId val="108083072"/>
        <c:scaling>
          <c:orientation val="minMax"/>
        </c:scaling>
        <c:delete val="0"/>
        <c:axPos val="b"/>
        <c:majorTickMark val="out"/>
        <c:minorTickMark val="none"/>
        <c:tickLblPos val="nextTo"/>
        <c:crossAx val="108084608"/>
        <c:crosses val="autoZero"/>
        <c:auto val="1"/>
        <c:lblAlgn val="ctr"/>
        <c:lblOffset val="100"/>
        <c:noMultiLvlLbl val="0"/>
      </c:catAx>
      <c:valAx>
        <c:axId val="108084608"/>
        <c:scaling>
          <c:orientation val="minMax"/>
        </c:scaling>
        <c:delete val="0"/>
        <c:axPos val="l"/>
        <c:majorGridlines/>
        <c:numFmt formatCode="#,##0" sourceLinked="1"/>
        <c:majorTickMark val="out"/>
        <c:minorTickMark val="none"/>
        <c:tickLblPos val="nextTo"/>
        <c:crossAx val="108083072"/>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0E0901EB-DFA7-4EB2-9742-8D673454A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1972</Words>
  <Characters>10655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Vasiliki</dc:creator>
  <cp:lastModifiedBy>OEYsec</cp:lastModifiedBy>
  <cp:revision>4</cp:revision>
  <dcterms:created xsi:type="dcterms:W3CDTF">2015-10-05T10:54:00Z</dcterms:created>
  <dcterms:modified xsi:type="dcterms:W3CDTF">2015-12-15T11:20:00Z</dcterms:modified>
</cp:coreProperties>
</file>